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86" w:rsidRPr="00E21402" w:rsidRDefault="00A02886" w:rsidP="00A02886">
      <w:pPr>
        <w:spacing w:after="0" w:line="240" w:lineRule="auto"/>
        <w:jc w:val="center"/>
        <w:rPr>
          <w:rFonts w:ascii="Times New Roman" w:hAnsi="Times New Roman" w:cs="Times New Roman"/>
          <w:color w:val="17365D" w:themeColor="text2" w:themeShade="BF"/>
          <w:sz w:val="30"/>
          <w:szCs w:val="30"/>
          <w:lang w:eastAsia="ro-RO"/>
        </w:rPr>
      </w:pPr>
      <w:r w:rsidRPr="00E21402">
        <w:rPr>
          <w:rFonts w:ascii="Times New Roman" w:hAnsi="Times New Roman" w:cs="Times New Roman"/>
          <w:color w:val="17365D" w:themeColor="text2" w:themeShade="BF"/>
          <w:sz w:val="30"/>
          <w:szCs w:val="30"/>
          <w:lang w:eastAsia="ro-RO"/>
        </w:rPr>
        <w:t>POSEIDON-BALCIC BLACK SEA INTERNATIONAL REGATTA 2019</w:t>
      </w:r>
    </w:p>
    <w:p w:rsidR="00A02886" w:rsidRPr="00E21402" w:rsidRDefault="00A02886" w:rsidP="00A02886">
      <w:pPr>
        <w:spacing w:after="0" w:line="240" w:lineRule="auto"/>
        <w:jc w:val="center"/>
        <w:rPr>
          <w:rFonts w:ascii="Times New Roman" w:hAnsi="Times New Roman" w:cs="Times New Roman"/>
          <w:color w:val="17365D" w:themeColor="text2" w:themeShade="BF"/>
          <w:sz w:val="32"/>
          <w:szCs w:val="32"/>
          <w:lang w:eastAsia="ro-RO"/>
        </w:rPr>
      </w:pPr>
      <w:r w:rsidRPr="00E21402">
        <w:rPr>
          <w:rFonts w:ascii="Times New Roman" w:hAnsi="Times New Roman" w:cs="Times New Roman"/>
          <w:color w:val="17365D" w:themeColor="text2" w:themeShade="BF"/>
          <w:sz w:val="32"/>
          <w:szCs w:val="32"/>
          <w:lang w:eastAsia="ro-RO"/>
        </w:rPr>
        <w:t>NOTICE OF RACE</w:t>
      </w:r>
    </w:p>
    <w:p w:rsidR="00A02886" w:rsidRPr="00142BE0" w:rsidRDefault="00A02886" w:rsidP="00A02886">
      <w:pPr>
        <w:spacing w:after="0" w:line="240" w:lineRule="auto"/>
        <w:jc w:val="center"/>
        <w:rPr>
          <w:rFonts w:ascii="Times New Roman" w:hAnsi="Times New Roman" w:cs="Times New Roman"/>
          <w:color w:val="17365D" w:themeColor="text2" w:themeShade="BF"/>
          <w:sz w:val="44"/>
        </w:rPr>
      </w:pPr>
    </w:p>
    <w:p w:rsidR="00A02886" w:rsidRDefault="00A02886" w:rsidP="00A02886">
      <w:pPr>
        <w:spacing w:after="0" w:line="240" w:lineRule="auto"/>
        <w:jc w:val="center"/>
        <w:rPr>
          <w:rFonts w:ascii="Times New Roman" w:hAnsi="Times New Roman" w:cs="Times New Roman"/>
          <w:color w:val="17365D" w:themeColor="text2" w:themeShade="BF"/>
          <w:sz w:val="32"/>
          <w:szCs w:val="32"/>
          <w:lang w:val="bg-BG"/>
        </w:rPr>
      </w:pPr>
      <w:r w:rsidRPr="00E21402">
        <w:rPr>
          <w:rFonts w:ascii="Times New Roman" w:hAnsi="Times New Roman" w:cs="Times New Roman"/>
          <w:color w:val="17365D" w:themeColor="text2" w:themeShade="BF"/>
          <w:sz w:val="32"/>
          <w:szCs w:val="32"/>
        </w:rPr>
        <w:t>MARINA EFORIE – BAL</w:t>
      </w:r>
      <w:r>
        <w:rPr>
          <w:rFonts w:ascii="Times New Roman" w:hAnsi="Times New Roman" w:cs="Times New Roman"/>
          <w:color w:val="17365D" w:themeColor="text2" w:themeShade="BF"/>
          <w:sz w:val="32"/>
          <w:szCs w:val="32"/>
        </w:rPr>
        <w:t>CHIK</w:t>
      </w:r>
    </w:p>
    <w:p w:rsidR="009E6C4F" w:rsidRDefault="00A02886" w:rsidP="00A02886">
      <w:pPr>
        <w:jc w:val="center"/>
      </w:pPr>
      <w:r>
        <w:rPr>
          <w:rFonts w:ascii="Times New Roman" w:hAnsi="Times New Roman" w:cs="Times New Roman"/>
          <w:color w:val="17365D" w:themeColor="text2" w:themeShade="BF"/>
          <w:sz w:val="32"/>
          <w:szCs w:val="32"/>
        </w:rPr>
        <w:t>29th August – 1st September</w:t>
      </w:r>
    </w:p>
    <w:p w:rsidR="00A02886" w:rsidRDefault="00A02886"/>
    <w:p w:rsidR="00A02886" w:rsidRPr="00336B01" w:rsidRDefault="00A02886" w:rsidP="00A02886">
      <w:pPr>
        <w:pStyle w:val="Style1"/>
        <w:rPr>
          <w:rFonts w:cs="Times New Roman"/>
        </w:rPr>
      </w:pPr>
      <w:r w:rsidRPr="00142BE0">
        <w:rPr>
          <w:rFonts w:cs="Times New Roman"/>
        </w:rPr>
        <w:t>1.</w:t>
      </w:r>
      <w:r w:rsidRPr="00142BE0">
        <w:rPr>
          <w:rFonts w:cs="Times New Roman"/>
        </w:rPr>
        <w:tab/>
        <w:t>Organizing Authority</w:t>
      </w:r>
    </w:p>
    <w:p w:rsidR="00A02886" w:rsidRPr="002578E6" w:rsidRDefault="00A02886" w:rsidP="00A02886">
      <w:pPr>
        <w:pStyle w:val="Style2"/>
      </w:pPr>
      <w:r w:rsidRPr="00142BE0">
        <w:t>The</w:t>
      </w:r>
      <w:r w:rsidRPr="002B2948">
        <w:t xml:space="preserve"> POSEIDON BALCHIK BLACK SEA INTERNATIONAL REGATTA </w:t>
      </w:r>
      <w:proofErr w:type="gramStart"/>
      <w:r w:rsidRPr="002B2948">
        <w:t xml:space="preserve">2019 </w:t>
      </w:r>
      <w:r w:rsidRPr="00142BE0">
        <w:t xml:space="preserve"> </w:t>
      </w:r>
      <w:r>
        <w:t>is</w:t>
      </w:r>
      <w:proofErr w:type="gramEnd"/>
      <w:r>
        <w:t xml:space="preserve"> organized by the</w:t>
      </w:r>
      <w:r w:rsidRPr="00142BE0">
        <w:t xml:space="preserve"> Black Sea </w:t>
      </w:r>
      <w:r w:rsidRPr="002578E6">
        <w:t xml:space="preserve">Sailing Associations and Nautical Club </w:t>
      </w:r>
      <w:proofErr w:type="spellStart"/>
      <w:r w:rsidRPr="00DF052C">
        <w:t>Balchik</w:t>
      </w:r>
      <w:proofErr w:type="spellEnd"/>
      <w:r w:rsidRPr="002578E6">
        <w:t xml:space="preserve"> under the authority of National Sailing Federation.</w:t>
      </w:r>
    </w:p>
    <w:p w:rsidR="00A02886" w:rsidRPr="00336B01" w:rsidRDefault="00A02886" w:rsidP="00A02886">
      <w:pPr>
        <w:pStyle w:val="Style1"/>
        <w:pBdr>
          <w:bottom w:val="single" w:sz="4" w:space="0" w:color="auto"/>
        </w:pBdr>
        <w:tabs>
          <w:tab w:val="left" w:pos="720"/>
          <w:tab w:val="left" w:pos="1345"/>
        </w:tabs>
        <w:rPr>
          <w:rFonts w:cs="Times New Roman"/>
          <w:color w:val="auto"/>
        </w:rPr>
      </w:pPr>
      <w:r w:rsidRPr="00336B01">
        <w:rPr>
          <w:rFonts w:cs="Times New Roman"/>
          <w:color w:val="auto"/>
        </w:rPr>
        <w:t>2.</w:t>
      </w:r>
      <w:r w:rsidRPr="00336B01">
        <w:rPr>
          <w:rFonts w:cs="Times New Roman"/>
          <w:color w:val="auto"/>
        </w:rPr>
        <w:tab/>
        <w:t>Rules</w:t>
      </w:r>
      <w:r w:rsidRPr="00336B01">
        <w:rPr>
          <w:rFonts w:cs="Times New Roman"/>
          <w:color w:val="auto"/>
        </w:rPr>
        <w:tab/>
      </w:r>
    </w:p>
    <w:p w:rsidR="00A02886" w:rsidRDefault="00A02886" w:rsidP="00A02886">
      <w:pPr>
        <w:pStyle w:val="Style3"/>
      </w:pPr>
      <w:r w:rsidRPr="00142BE0">
        <w:t>2.1</w:t>
      </w:r>
      <w:r>
        <w:t>.</w:t>
      </w:r>
      <w:r w:rsidRPr="00142BE0">
        <w:tab/>
        <w:t>The regatta will be governed by the rules as defined in the World Sailing Racing Rules of Sailing 2017-2020.</w:t>
      </w:r>
    </w:p>
    <w:p w:rsidR="00A02886" w:rsidRDefault="00A02886" w:rsidP="00A02886">
      <w:pPr>
        <w:pStyle w:val="Style3"/>
      </w:pPr>
      <w:r w:rsidRPr="00142BE0">
        <w:t>2.2</w:t>
      </w:r>
      <w:r>
        <w:t>.</w:t>
      </w:r>
      <w:r w:rsidRPr="00142BE0">
        <w:t xml:space="preserve"> </w:t>
      </w:r>
      <w:r w:rsidRPr="00142BE0">
        <w:tab/>
        <w:t>The following rules will also apply:</w:t>
      </w:r>
    </w:p>
    <w:p w:rsidR="00A02886" w:rsidRPr="00142BE0" w:rsidRDefault="00A02886" w:rsidP="00A02886">
      <w:pPr>
        <w:pStyle w:val="Style3"/>
        <w:numPr>
          <w:ilvl w:val="0"/>
          <w:numId w:val="1"/>
        </w:numPr>
        <w:ind w:left="567" w:hanging="283"/>
      </w:pPr>
      <w:r>
        <w:t xml:space="preserve">2019 IRC / </w:t>
      </w:r>
      <w:r w:rsidRPr="00142BE0">
        <w:t>ORC Rule</w:t>
      </w:r>
      <w:r>
        <w:t>s;</w:t>
      </w:r>
    </w:p>
    <w:p w:rsidR="00A02886" w:rsidRPr="00142BE0" w:rsidRDefault="00A02886" w:rsidP="00A02886">
      <w:pPr>
        <w:pStyle w:val="Style3"/>
        <w:numPr>
          <w:ilvl w:val="0"/>
          <w:numId w:val="1"/>
        </w:numPr>
        <w:ind w:left="567" w:hanging="283"/>
      </w:pPr>
      <w:r w:rsidRPr="00142BE0">
        <w:t xml:space="preserve">World Sailing Offshore Special Regulations, </w:t>
      </w:r>
      <w:proofErr w:type="spellStart"/>
      <w:r w:rsidRPr="004E7248">
        <w:t>Monohulls</w:t>
      </w:r>
      <w:proofErr w:type="spellEnd"/>
      <w:r w:rsidRPr="004E7248">
        <w:t xml:space="preserve"> Category 3</w:t>
      </w:r>
      <w:r w:rsidRPr="002647F4">
        <w:t xml:space="preserve"> </w:t>
      </w:r>
      <w:r w:rsidRPr="00526CB1">
        <w:t xml:space="preserve">(without </w:t>
      </w:r>
      <w:proofErr w:type="spellStart"/>
      <w:r w:rsidRPr="00526CB1">
        <w:t>liferaft</w:t>
      </w:r>
      <w:proofErr w:type="spellEnd"/>
      <w:r w:rsidRPr="00526CB1">
        <w:t>);</w:t>
      </w:r>
    </w:p>
    <w:p w:rsidR="00A02886" w:rsidRPr="00142BE0" w:rsidRDefault="00A02886" w:rsidP="00A02886">
      <w:pPr>
        <w:pStyle w:val="Style3"/>
        <w:numPr>
          <w:ilvl w:val="0"/>
          <w:numId w:val="1"/>
        </w:numPr>
        <w:ind w:left="567" w:hanging="283"/>
      </w:pPr>
      <w:r w:rsidRPr="00142BE0">
        <w:t>The International regulations for Preventing Collisions at Sea (IRPCAS) will replace the rules of Part 2 of RRS from the actual sunset to the actual sunrise</w:t>
      </w:r>
      <w:r>
        <w:t>.</w:t>
      </w:r>
    </w:p>
    <w:p w:rsidR="00A02886" w:rsidRPr="00142BE0" w:rsidRDefault="00A02886" w:rsidP="00A02886">
      <w:pPr>
        <w:pStyle w:val="Style3"/>
      </w:pPr>
      <w:r w:rsidRPr="00142BE0">
        <w:t>2.3</w:t>
      </w:r>
      <w:r>
        <w:t>.</w:t>
      </w:r>
      <w:r w:rsidRPr="00142BE0">
        <w:tab/>
        <w:t>No national authority prescription will apply</w:t>
      </w:r>
      <w:r>
        <w:t>.</w:t>
      </w:r>
    </w:p>
    <w:p w:rsidR="00A02886" w:rsidRDefault="00A02886" w:rsidP="00A02886">
      <w:pPr>
        <w:pStyle w:val="Style3"/>
      </w:pPr>
      <w:r w:rsidRPr="00142BE0">
        <w:t>2.4</w:t>
      </w:r>
      <w:r>
        <w:t>.</w:t>
      </w:r>
      <w:r w:rsidRPr="00142BE0">
        <w:tab/>
        <w:t>If there is a conflict between languages the English text will take precedence.</w:t>
      </w:r>
    </w:p>
    <w:p w:rsidR="00A02886" w:rsidRPr="00142BE0" w:rsidRDefault="00A02886" w:rsidP="00A02886">
      <w:pPr>
        <w:pStyle w:val="Style3"/>
      </w:pPr>
      <w:r w:rsidRPr="00DF3368">
        <w:t>2.</w:t>
      </w:r>
      <w:r>
        <w:t>5.</w:t>
      </w:r>
      <w:r>
        <w:tab/>
      </w:r>
      <w:r w:rsidRPr="00DF3368">
        <w:t>If there is a conflict between this Notice of Race and the Sailing Instructions, the Sailing Instructions and their amendments will take precedence. This changes RRS 63.7.</w:t>
      </w:r>
    </w:p>
    <w:p w:rsidR="00A02886" w:rsidRPr="00142BE0" w:rsidRDefault="00A02886" w:rsidP="00A02886">
      <w:pPr>
        <w:pStyle w:val="Style1"/>
        <w:rPr>
          <w:rFonts w:cs="Times New Roman"/>
        </w:rPr>
      </w:pPr>
      <w:r w:rsidRPr="00142BE0">
        <w:rPr>
          <w:rFonts w:cs="Times New Roman"/>
        </w:rPr>
        <w:t>3.</w:t>
      </w:r>
      <w:r w:rsidRPr="00142BE0">
        <w:rPr>
          <w:rFonts w:cs="Times New Roman"/>
        </w:rPr>
        <w:tab/>
        <w:t>ADVERTISING</w:t>
      </w:r>
    </w:p>
    <w:p w:rsidR="00A02886" w:rsidRPr="00142BE0" w:rsidRDefault="00A02886" w:rsidP="00A02886">
      <w:pPr>
        <w:pStyle w:val="Style2"/>
      </w:pPr>
      <w:r w:rsidRPr="00142BE0">
        <w:t>Boats may be required to display advertising materials supplied by the Organizing Authority. All advertising materials should remain visible and posted according to Sailing Instructions, for the entire Regatta period. The refusal to display promotional materials leads to automat</w:t>
      </w:r>
      <w:r>
        <w:t>ic disqualification of the boat from the race</w:t>
      </w:r>
    </w:p>
    <w:p w:rsidR="00A02886" w:rsidRPr="00142BE0" w:rsidRDefault="00A02886" w:rsidP="00A02886">
      <w:pPr>
        <w:pStyle w:val="Style2"/>
      </w:pPr>
      <w:r w:rsidRPr="00142BE0">
        <w:t>By participating in the</w:t>
      </w:r>
      <w:r w:rsidRPr="002B2948">
        <w:t xml:space="preserve"> POSEIDON BALCHIK BLACK SEA INTERNATIONAL REGATTA 2019</w:t>
      </w:r>
      <w:r w:rsidRPr="00142BE0">
        <w:t>, a competitor automatically grants to the Organizing Authority and the sponsors of the race, the right in perpetuity, to make, use and show, from time to time and at their discretion, any motion pictures and live, taped or film television and other reproductions of him/her during the period of the competition for the said</w:t>
      </w:r>
      <w:r w:rsidRPr="002B2948">
        <w:t xml:space="preserve"> POSEIDON BALCHIK BLACK SEA INTERNATIONAL REGATTA 2019</w:t>
      </w:r>
      <w:r w:rsidRPr="00142BE0">
        <w:t>, in which the competitor participates and in all materials related, without compensation.</w:t>
      </w:r>
    </w:p>
    <w:p w:rsidR="00A02886" w:rsidRPr="00142BE0" w:rsidRDefault="00A02886" w:rsidP="00A02886">
      <w:pPr>
        <w:pStyle w:val="Style1"/>
        <w:rPr>
          <w:rFonts w:cs="Times New Roman"/>
        </w:rPr>
      </w:pPr>
      <w:r w:rsidRPr="00142BE0">
        <w:rPr>
          <w:rFonts w:cs="Times New Roman"/>
        </w:rPr>
        <w:t>4</w:t>
      </w:r>
      <w:r w:rsidRPr="00142BE0">
        <w:rPr>
          <w:rFonts w:cs="Times New Roman"/>
        </w:rPr>
        <w:tab/>
        <w:t>Eligibility and Classes</w:t>
      </w:r>
    </w:p>
    <w:p w:rsidR="00A02886" w:rsidRPr="00142BE0" w:rsidRDefault="00A02886" w:rsidP="00A02886">
      <w:pPr>
        <w:spacing w:after="0" w:line="240" w:lineRule="auto"/>
        <w:rPr>
          <w:rFonts w:ascii="Times New Roman" w:hAnsi="Times New Roman" w:cs="Times New Roman"/>
          <w:color w:val="17365D" w:themeColor="text2" w:themeShade="BF"/>
          <w:sz w:val="4"/>
          <w:szCs w:val="4"/>
          <w:highlight w:val="yellow"/>
        </w:rPr>
      </w:pPr>
    </w:p>
    <w:p w:rsidR="00A02886" w:rsidRPr="00142BE0" w:rsidRDefault="00A02886" w:rsidP="00A02886">
      <w:pPr>
        <w:pStyle w:val="Style3"/>
      </w:pPr>
      <w:r w:rsidRPr="00142BE0">
        <w:t>4.1.</w:t>
      </w:r>
      <w:r w:rsidRPr="00142BE0">
        <w:tab/>
        <w:t>Regatta is open to all sailing boats and will be conducted according to ORC and/or IRC rating system.</w:t>
      </w:r>
    </w:p>
    <w:p w:rsidR="00A02886" w:rsidRPr="00142BE0" w:rsidRDefault="00A02886" w:rsidP="00A02886">
      <w:pPr>
        <w:pStyle w:val="Style3"/>
      </w:pPr>
      <w:r w:rsidRPr="00142BE0">
        <w:t>4.2.</w:t>
      </w:r>
      <w:r w:rsidRPr="00142BE0">
        <w:tab/>
        <w:t>For the sailing boats without any rating certificate, they can register in Rally Class only for offshore race.</w:t>
      </w:r>
    </w:p>
    <w:p w:rsidR="00A02886" w:rsidRPr="00142BE0" w:rsidRDefault="00A02886" w:rsidP="00A02886">
      <w:pPr>
        <w:pStyle w:val="Style3"/>
      </w:pPr>
      <w:r w:rsidRPr="00142BE0">
        <w:t>4.3.</w:t>
      </w:r>
      <w:r w:rsidRPr="00142BE0">
        <w:tab/>
      </w:r>
      <w:r w:rsidRPr="00537A17">
        <w:t xml:space="preserve">Classes will have separate results. </w:t>
      </w:r>
      <w:r w:rsidRPr="00142BE0">
        <w:t>Minimum 5 boats are required to make separate classes.</w:t>
      </w:r>
      <w:r>
        <w:t xml:space="preserve"> </w:t>
      </w:r>
    </w:p>
    <w:p w:rsidR="00A02886" w:rsidRDefault="00A02886" w:rsidP="00A02886">
      <w:pPr>
        <w:pStyle w:val="Style3"/>
        <w:ind w:firstLine="0"/>
      </w:pPr>
      <w:r w:rsidRPr="00142BE0">
        <w:t>4.3.1</w:t>
      </w:r>
      <w:r w:rsidRPr="00142BE0">
        <w:tab/>
        <w:t xml:space="preserve">According </w:t>
      </w:r>
      <w:r w:rsidRPr="000279ED">
        <w:t>to the GPH (</w:t>
      </w:r>
      <w:r>
        <w:t>General Purpose Handicap</w:t>
      </w:r>
      <w:r w:rsidRPr="000279ED">
        <w:t>)</w:t>
      </w:r>
      <w:r>
        <w:t xml:space="preserve"> </w:t>
      </w:r>
      <w:r w:rsidRPr="000279ED">
        <w:t>ORC boats will be divided</w:t>
      </w:r>
      <w:r>
        <w:t xml:space="preserve"> in class</w:t>
      </w:r>
      <w:r w:rsidRPr="000279ED">
        <w:t xml:space="preserve"> </w:t>
      </w:r>
      <w:r w:rsidRPr="003A71BC">
        <w:rPr>
          <w:b/>
        </w:rPr>
        <w:t>ORC-A&amp;B</w:t>
      </w:r>
      <w:r w:rsidRPr="00DA36A4">
        <w:t>, with divisions ORC-A and ORC-B</w:t>
      </w:r>
      <w:r w:rsidRPr="000279ED">
        <w:t xml:space="preserve"> and </w:t>
      </w:r>
      <w:r>
        <w:t xml:space="preserve">class </w:t>
      </w:r>
      <w:r w:rsidRPr="003A71BC">
        <w:rPr>
          <w:b/>
        </w:rPr>
        <w:t>ORC-C</w:t>
      </w:r>
      <w:r>
        <w:t xml:space="preserve"> .</w:t>
      </w:r>
      <w:r w:rsidRPr="00632F14">
        <w:t>Non-spinnaker rating will be not used.</w:t>
      </w:r>
      <w:r w:rsidRPr="00C45105">
        <w:t xml:space="preserve"> </w:t>
      </w:r>
    </w:p>
    <w:p w:rsidR="00A02886" w:rsidRPr="00142BE0" w:rsidRDefault="00A02886" w:rsidP="00A02886">
      <w:pPr>
        <w:pStyle w:val="Style3"/>
        <w:ind w:firstLine="0"/>
      </w:pPr>
      <w:r>
        <w:t>For d</w:t>
      </w:r>
      <w:r w:rsidRPr="00537A17">
        <w:t xml:space="preserve">ivisions ORC-A and ORC-B </w:t>
      </w:r>
      <w:r>
        <w:t>results will be determined by extracting boats from the overall results.</w:t>
      </w:r>
    </w:p>
    <w:p w:rsidR="00A02886" w:rsidRPr="00142BE0" w:rsidRDefault="00A02886" w:rsidP="00A02886">
      <w:pPr>
        <w:pStyle w:val="Style3"/>
      </w:pPr>
      <w:r w:rsidRPr="00142BE0">
        <w:t>4.3.2</w:t>
      </w:r>
      <w:r w:rsidRPr="00142BE0">
        <w:tab/>
        <w:t>The classification of the boats in classes IRC-1 and IRC-2 will be decided only by Race Committee and shall not be grounds for request for redress.</w:t>
      </w:r>
    </w:p>
    <w:p w:rsidR="00A02886" w:rsidRPr="00142BE0" w:rsidRDefault="00A02886" w:rsidP="00A02886">
      <w:pPr>
        <w:pStyle w:val="Style3"/>
        <w:rPr>
          <w:rFonts w:cs="Times New Roman"/>
          <w:strike/>
          <w:color w:val="244061" w:themeColor="accent1" w:themeShade="80"/>
        </w:rPr>
      </w:pPr>
      <w:r w:rsidRPr="00142BE0">
        <w:t>4.3.3</w:t>
      </w:r>
      <w:r w:rsidRPr="00142BE0">
        <w:tab/>
        <w:t>All boats are eligible and can register in Rally Class.</w:t>
      </w:r>
    </w:p>
    <w:p w:rsidR="00A02886" w:rsidRPr="00142BE0" w:rsidRDefault="00A02886" w:rsidP="00A02886">
      <w:pPr>
        <w:pStyle w:val="Style3"/>
      </w:pPr>
      <w:r w:rsidRPr="00142BE0">
        <w:t>4.4.</w:t>
      </w:r>
      <w:r w:rsidRPr="00142BE0">
        <w:tab/>
      </w:r>
      <w:r>
        <w:t xml:space="preserve">For the class ORC-A&amp;B </w:t>
      </w:r>
      <w:r w:rsidRPr="00142BE0">
        <w:t>the boats should have the ORC International cer</w:t>
      </w:r>
      <w:r>
        <w:t>tificate.</w:t>
      </w:r>
    </w:p>
    <w:p w:rsidR="00A02886" w:rsidRPr="00142BE0" w:rsidRDefault="00A02886" w:rsidP="00A02886">
      <w:pPr>
        <w:pStyle w:val="Style3"/>
      </w:pPr>
      <w:r w:rsidRPr="00142BE0">
        <w:t>4.5</w:t>
      </w:r>
      <w:r>
        <w:t>.</w:t>
      </w:r>
      <w:r>
        <w:tab/>
      </w:r>
      <w:r w:rsidRPr="009B6DC5">
        <w:t xml:space="preserve">In a variation of max. </w:t>
      </w:r>
      <w:r w:rsidRPr="00D841D0">
        <w:t>± 2,5%</w:t>
      </w:r>
      <w:r w:rsidRPr="009B6DC5">
        <w:t xml:space="preserve"> from the value of GPH, </w:t>
      </w:r>
      <w:r w:rsidRPr="00142BE0">
        <w:t xml:space="preserve">boats can switch the division by written request on email </w:t>
      </w:r>
      <w:r>
        <w:t xml:space="preserve">from owner </w:t>
      </w:r>
      <w:r w:rsidRPr="00142BE0">
        <w:t xml:space="preserve">at the </w:t>
      </w:r>
      <w:r>
        <w:t>Organizing Authorities or directly from  OA which has the final decision.</w:t>
      </w:r>
    </w:p>
    <w:p w:rsidR="00A02886" w:rsidRDefault="00A02886" w:rsidP="00A02886">
      <w:pPr>
        <w:pStyle w:val="Style3"/>
      </w:pPr>
      <w:r>
        <w:lastRenderedPageBreak/>
        <w:t>4.6.</w:t>
      </w:r>
      <w:r>
        <w:tab/>
        <w:t>All competing</w:t>
      </w:r>
      <w:r w:rsidRPr="00142BE0">
        <w:t xml:space="preserve"> sailors:</w:t>
      </w:r>
    </w:p>
    <w:p w:rsidR="00A02886" w:rsidRPr="00EB73DB" w:rsidRDefault="00A02886" w:rsidP="00A02886">
      <w:pPr>
        <w:pStyle w:val="Style3"/>
      </w:pPr>
      <w:r w:rsidRPr="00EB73DB">
        <w:tab/>
        <w:t>Must have a medical clearance for sports for the competition period in order to prove that are able to participate at regatta and take their; s own risks in that way. Organizing authority , race committee or any other bodies or persons involved in organizing, conducting or judging the</w:t>
      </w:r>
      <w:r w:rsidRPr="002B2948">
        <w:t xml:space="preserve"> POSEIDON BALCHIK BLACK SEA INTERNATIONAL REGATTA 2019 </w:t>
      </w:r>
      <w:r w:rsidRPr="00EB73DB">
        <w:t xml:space="preserve"> disclaim any and all responsibility whatsoever or loss, damage, injury or inconvenience that might occur to persons and materials, both ashore and at sea as a consequence of the participation to the event. </w:t>
      </w:r>
    </w:p>
    <w:p w:rsidR="00A02886" w:rsidRPr="00142BE0" w:rsidRDefault="00A02886" w:rsidP="00A02886">
      <w:pPr>
        <w:pStyle w:val="Style3"/>
      </w:pPr>
      <w:r>
        <w:t>4.7.</w:t>
      </w:r>
      <w:r w:rsidRPr="00142BE0">
        <w:tab/>
        <w:t xml:space="preserve">Crew shall consist of a minimum of </w:t>
      </w:r>
      <w:r>
        <w:t>2 (</w:t>
      </w:r>
      <w:r w:rsidRPr="00142BE0">
        <w:t>two</w:t>
      </w:r>
      <w:r>
        <w:t>)</w:t>
      </w:r>
      <w:r w:rsidRPr="00142BE0">
        <w:t xml:space="preserve"> persons.</w:t>
      </w:r>
    </w:p>
    <w:p w:rsidR="00A02886" w:rsidRPr="00142BE0" w:rsidRDefault="00A02886" w:rsidP="00A02886">
      <w:pPr>
        <w:pStyle w:val="Style1"/>
        <w:rPr>
          <w:rFonts w:cs="Times New Roman"/>
        </w:rPr>
      </w:pPr>
      <w:r w:rsidRPr="00142BE0">
        <w:rPr>
          <w:rFonts w:cs="Times New Roman"/>
        </w:rPr>
        <w:t xml:space="preserve">5 </w:t>
      </w:r>
      <w:r w:rsidRPr="00142BE0">
        <w:rPr>
          <w:rFonts w:cs="Times New Roman"/>
        </w:rPr>
        <w:tab/>
        <w:t>Entry Fee</w:t>
      </w:r>
    </w:p>
    <w:p w:rsidR="00A02886" w:rsidRPr="00876D15" w:rsidRDefault="00A02886" w:rsidP="00A02886">
      <w:pPr>
        <w:pStyle w:val="Style3"/>
      </w:pPr>
      <w:r w:rsidRPr="00142BE0">
        <w:t>5.1</w:t>
      </w:r>
      <w:r>
        <w:t>.</w:t>
      </w:r>
      <w:r w:rsidRPr="00142BE0">
        <w:tab/>
        <w:t xml:space="preserve">The entry fee is </w:t>
      </w:r>
      <w:r>
        <w:t xml:space="preserve">50 lei or </w:t>
      </w:r>
      <w:r w:rsidRPr="00876D15">
        <w:t xml:space="preserve">10 </w:t>
      </w:r>
      <w:proofErr w:type="spellStart"/>
      <w:r w:rsidRPr="00876D15">
        <w:t>euros</w:t>
      </w:r>
      <w:proofErr w:type="spellEnd"/>
      <w:r w:rsidRPr="00876D15">
        <w:t xml:space="preserve"> </w:t>
      </w:r>
      <w:r>
        <w:t xml:space="preserve">for each </w:t>
      </w:r>
      <w:r w:rsidRPr="00142BE0">
        <w:t xml:space="preserve">crew member for the boats registered until </w:t>
      </w:r>
      <w:r>
        <w:t xml:space="preserve">26 August </w:t>
      </w:r>
      <w:r w:rsidRPr="00876D15">
        <w:t>2019, 20:00.</w:t>
      </w:r>
    </w:p>
    <w:p w:rsidR="00A02886" w:rsidRPr="00A265F5" w:rsidRDefault="00A02886" w:rsidP="00A02886">
      <w:pPr>
        <w:pStyle w:val="Style3"/>
      </w:pPr>
      <w:r w:rsidRPr="00142BE0">
        <w:t>5.2.</w:t>
      </w:r>
      <w:r w:rsidRPr="00142BE0">
        <w:tab/>
      </w:r>
      <w:r w:rsidRPr="00A265F5">
        <w:t>Late entries and on-site cash payment may be accepted at organizer's discretion.</w:t>
      </w:r>
    </w:p>
    <w:p w:rsidR="00A02886" w:rsidRPr="00142BE0" w:rsidRDefault="00A02886" w:rsidP="00A02886">
      <w:pPr>
        <w:pStyle w:val="Style3"/>
      </w:pPr>
      <w:r w:rsidRPr="00142BE0">
        <w:t>5.3</w:t>
      </w:r>
      <w:r>
        <w:t>.</w:t>
      </w:r>
      <w:r w:rsidRPr="00142BE0">
        <w:tab/>
      </w:r>
      <w:r w:rsidRPr="00F10CD7">
        <w:t xml:space="preserve">Entries can be pay by bank transfer to </w:t>
      </w:r>
      <w:proofErr w:type="spellStart"/>
      <w:r>
        <w:t>Banca</w:t>
      </w:r>
      <w:proofErr w:type="spellEnd"/>
      <w:r>
        <w:t xml:space="preserve"> </w:t>
      </w:r>
      <w:proofErr w:type="spellStart"/>
      <w:r>
        <w:t>Transilvania</w:t>
      </w:r>
      <w:proofErr w:type="spellEnd"/>
      <w:r>
        <w:t xml:space="preserve"> IBAN: RO94 BTRL 0140 1205 H761 26XX</w:t>
      </w:r>
    </w:p>
    <w:p w:rsidR="00A02886" w:rsidRPr="00142BE0" w:rsidRDefault="00A02886" w:rsidP="00A02886">
      <w:pPr>
        <w:pStyle w:val="Style3"/>
      </w:pPr>
      <w:r w:rsidRPr="00142BE0">
        <w:t>5.4</w:t>
      </w:r>
      <w:r>
        <w:t>.</w:t>
      </w:r>
      <w:r w:rsidRPr="00142BE0">
        <w:tab/>
        <w:t>The organizer is not responsible for any costs incurred by the non-acceptance of a boat’s registration.</w:t>
      </w:r>
    </w:p>
    <w:p w:rsidR="00A02886" w:rsidRPr="00142BE0" w:rsidRDefault="00A02886" w:rsidP="00A02886">
      <w:pPr>
        <w:pStyle w:val="Style1"/>
        <w:rPr>
          <w:rFonts w:cs="Times New Roman"/>
        </w:rPr>
      </w:pPr>
      <w:r w:rsidRPr="00142BE0">
        <w:rPr>
          <w:rFonts w:cs="Times New Roman"/>
        </w:rPr>
        <w:t xml:space="preserve">6 </w:t>
      </w:r>
      <w:r w:rsidRPr="00142BE0">
        <w:rPr>
          <w:rFonts w:cs="Times New Roman"/>
        </w:rPr>
        <w:tab/>
        <w:t xml:space="preserve">Registration </w:t>
      </w:r>
    </w:p>
    <w:p w:rsidR="00A02886" w:rsidRPr="00142BE0" w:rsidRDefault="00A02886" w:rsidP="00A02886">
      <w:pPr>
        <w:pStyle w:val="Style3"/>
      </w:pPr>
      <w:r>
        <w:t>6.1.</w:t>
      </w:r>
      <w:r>
        <w:tab/>
        <w:t xml:space="preserve">Eligible </w:t>
      </w:r>
      <w:r w:rsidRPr="00142BE0">
        <w:t>boats may pre-register until</w:t>
      </w:r>
      <w:r>
        <w:t xml:space="preserve"> 26 August 2019</w:t>
      </w:r>
      <w:r w:rsidRPr="00142BE0">
        <w:t xml:space="preserve">, 08:00 by completing the on-line registration forms </w:t>
      </w:r>
      <w:proofErr w:type="spellStart"/>
      <w:r w:rsidRPr="00142BE0">
        <w:t>andsending</w:t>
      </w:r>
      <w:proofErr w:type="spellEnd"/>
      <w:r w:rsidRPr="00142BE0">
        <w:t xml:space="preserve"> the copy of the ORC certificate and Entry Form to </w:t>
      </w:r>
      <w:hyperlink r:id="rId5" w:history="1">
        <w:r w:rsidRPr="00142BE0">
          <w:rPr>
            <w:rStyle w:val="Hyperlink"/>
            <w:rFonts w:cs="Times New Roman"/>
            <w:color w:val="17365D" w:themeColor="text2" w:themeShade="BF"/>
          </w:rPr>
          <w:t>blackseasailing@gmail.com</w:t>
        </w:r>
      </w:hyperlink>
      <w:r w:rsidRPr="00142BE0">
        <w:rPr>
          <w:rFonts w:cs="Times New Roman"/>
          <w:color w:val="17365D" w:themeColor="text2" w:themeShade="BF"/>
        </w:rPr>
        <w:t xml:space="preserve"> and </w:t>
      </w:r>
      <w:r>
        <w:rPr>
          <w:rFonts w:cs="Times New Roman"/>
          <w:shd w:val="clear" w:color="auto" w:fill="FFFFFF"/>
        </w:rPr>
        <w:t>mk_balchik@abv.bg</w:t>
      </w:r>
    </w:p>
    <w:p w:rsidR="00A02886" w:rsidRPr="00142BE0" w:rsidRDefault="00A02886" w:rsidP="00A02886">
      <w:pPr>
        <w:pStyle w:val="Style3"/>
      </w:pPr>
      <w:r w:rsidRPr="00142BE0">
        <w:t>6.2</w:t>
      </w:r>
      <w:r>
        <w:t>.</w:t>
      </w:r>
      <w:r w:rsidRPr="00142BE0">
        <w:tab/>
        <w:t>Each Owner or Skipper must personally register in the Race Office. The following documents shall be presented at registration printed, fully filled in and signed:</w:t>
      </w:r>
    </w:p>
    <w:p w:rsidR="00A02886" w:rsidRPr="00142BE0" w:rsidRDefault="00A02886" w:rsidP="00A02886">
      <w:pPr>
        <w:pStyle w:val="Style3"/>
        <w:numPr>
          <w:ilvl w:val="0"/>
          <w:numId w:val="1"/>
        </w:numPr>
        <w:ind w:left="567" w:hanging="283"/>
      </w:pPr>
      <w:r w:rsidRPr="00142BE0">
        <w:t>Copy of valid ORC certificate, except the Rally Class</w:t>
      </w:r>
    </w:p>
    <w:p w:rsidR="00A02886" w:rsidRPr="00142BE0" w:rsidRDefault="00A02886" w:rsidP="00A02886">
      <w:pPr>
        <w:pStyle w:val="Style3"/>
        <w:numPr>
          <w:ilvl w:val="0"/>
          <w:numId w:val="1"/>
        </w:numPr>
        <w:ind w:left="567" w:hanging="283"/>
      </w:pPr>
      <w:r w:rsidRPr="00142BE0">
        <w:t>Entry form</w:t>
      </w:r>
    </w:p>
    <w:p w:rsidR="00A02886" w:rsidRPr="00142BE0" w:rsidRDefault="00A02886" w:rsidP="00A02886">
      <w:pPr>
        <w:pStyle w:val="Style3"/>
        <w:numPr>
          <w:ilvl w:val="0"/>
          <w:numId w:val="1"/>
        </w:numPr>
        <w:ind w:left="567" w:hanging="283"/>
      </w:pPr>
      <w:r w:rsidRPr="00142BE0">
        <w:t>Crew list</w:t>
      </w:r>
    </w:p>
    <w:p w:rsidR="00A02886" w:rsidRPr="00142BE0" w:rsidRDefault="00A02886" w:rsidP="00A02886">
      <w:pPr>
        <w:pStyle w:val="Style3"/>
        <w:numPr>
          <w:ilvl w:val="0"/>
          <w:numId w:val="1"/>
        </w:numPr>
        <w:ind w:left="567" w:hanging="283"/>
      </w:pPr>
      <w:r w:rsidRPr="00142BE0">
        <w:t>Liability acceptance form (provided by OA)</w:t>
      </w:r>
    </w:p>
    <w:p w:rsidR="00A02886" w:rsidRPr="00142BE0" w:rsidRDefault="00A02886" w:rsidP="00A02886">
      <w:pPr>
        <w:pStyle w:val="Style3"/>
        <w:numPr>
          <w:ilvl w:val="0"/>
          <w:numId w:val="1"/>
        </w:numPr>
        <w:ind w:left="567" w:hanging="283"/>
      </w:pPr>
      <w:r w:rsidRPr="00142BE0">
        <w:t>Relevant Skipper’s License</w:t>
      </w:r>
    </w:p>
    <w:p w:rsidR="00A02886" w:rsidRPr="00142BE0" w:rsidRDefault="00A02886" w:rsidP="00A02886">
      <w:pPr>
        <w:pStyle w:val="Style3"/>
        <w:numPr>
          <w:ilvl w:val="0"/>
          <w:numId w:val="1"/>
        </w:numPr>
        <w:ind w:left="567" w:hanging="283"/>
      </w:pPr>
      <w:r w:rsidRPr="00142BE0">
        <w:t>Boat registration certificate</w:t>
      </w:r>
    </w:p>
    <w:p w:rsidR="00A02886" w:rsidRPr="00142BE0" w:rsidRDefault="00A02886" w:rsidP="00A02886">
      <w:pPr>
        <w:pStyle w:val="Style3"/>
        <w:numPr>
          <w:ilvl w:val="0"/>
          <w:numId w:val="1"/>
        </w:numPr>
        <w:ind w:left="567" w:hanging="283"/>
      </w:pPr>
      <w:r w:rsidRPr="00142BE0">
        <w:t>Third part liability insurance</w:t>
      </w:r>
    </w:p>
    <w:p w:rsidR="00A02886" w:rsidRPr="00142BE0" w:rsidRDefault="00A02886" w:rsidP="00A02886">
      <w:pPr>
        <w:pStyle w:val="Style3"/>
        <w:ind w:firstLine="0"/>
      </w:pPr>
      <w:r w:rsidRPr="00142BE0">
        <w:t>This changes RRS 78.2.</w:t>
      </w:r>
    </w:p>
    <w:p w:rsidR="00A02886" w:rsidRPr="00142BE0" w:rsidRDefault="00A02886" w:rsidP="00A02886">
      <w:pPr>
        <w:pStyle w:val="Style3"/>
      </w:pPr>
      <w:r w:rsidRPr="00142BE0">
        <w:t>6.3</w:t>
      </w:r>
      <w:r>
        <w:t>.</w:t>
      </w:r>
      <w:r w:rsidRPr="00142BE0">
        <w:tab/>
        <w:t xml:space="preserve">It is the owner’s or </w:t>
      </w:r>
      <w:proofErr w:type="gramStart"/>
      <w:r w:rsidRPr="00142BE0">
        <w:t>skipper’s</w:t>
      </w:r>
      <w:proofErr w:type="gramEnd"/>
      <w:r w:rsidRPr="00142BE0">
        <w:t xml:space="preserve"> solely and inescapably responsibility to produce the above mentioned documents while making the entry. No changes shall be made on ORC/IRC certificates after </w:t>
      </w:r>
      <w:r>
        <w:t>0</w:t>
      </w:r>
      <w:r w:rsidRPr="00142BE0">
        <w:t>8</w:t>
      </w:r>
      <w:r>
        <w:t>.00</w:t>
      </w:r>
      <w:r w:rsidRPr="00142BE0">
        <w:t xml:space="preserve"> on the first day of racing.</w:t>
      </w:r>
    </w:p>
    <w:p w:rsidR="00A02886" w:rsidRPr="00142BE0" w:rsidRDefault="00A02886" w:rsidP="00A02886">
      <w:pPr>
        <w:pStyle w:val="Style3"/>
      </w:pPr>
      <w:r w:rsidRPr="00142BE0">
        <w:t>6.4.</w:t>
      </w:r>
      <w:r w:rsidRPr="00142BE0">
        <w:tab/>
        <w:t>All the boats will be required to display the bow numbers provided by OA upon completion of entry procedure, as per instructions received from Race Committee. Failure to display the registration numbers under the conditions requested by the OA leads to the disqualification of the boat, without the right to protest. Bow numbers shall be placed as forward as possible:</w:t>
      </w:r>
    </w:p>
    <w:p w:rsidR="00A02886" w:rsidRPr="00142BE0" w:rsidRDefault="00A02886" w:rsidP="00A02886">
      <w:pPr>
        <w:jc w:val="center"/>
        <w:rPr>
          <w:rFonts w:eastAsia="MS UI Gothic"/>
          <w:b/>
          <w:bCs/>
          <w:color w:val="70AD47"/>
          <w:sz w:val="16"/>
          <w:szCs w:val="16"/>
        </w:rPr>
      </w:pPr>
      <w:r w:rsidRPr="00142BE0">
        <w:rPr>
          <w:rFonts w:eastAsia="MS UI Gothic"/>
          <w:noProof/>
          <w:sz w:val="28"/>
          <w:lang w:val="bg-BG" w:eastAsia="bg-BG"/>
        </w:rPr>
        <w:drawing>
          <wp:inline distT="0" distB="0" distL="0" distR="0">
            <wp:extent cx="4168140" cy="1272540"/>
            <wp:effectExtent l="0" t="0" r="3810" b="381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68140" cy="1272540"/>
                    </a:xfrm>
                    <a:prstGeom prst="rect">
                      <a:avLst/>
                    </a:prstGeom>
                    <a:noFill/>
                    <a:ln>
                      <a:noFill/>
                    </a:ln>
                  </pic:spPr>
                </pic:pic>
              </a:graphicData>
            </a:graphic>
          </wp:inline>
        </w:drawing>
      </w:r>
    </w:p>
    <w:p w:rsidR="00A02886" w:rsidRPr="00142BE0" w:rsidRDefault="00A02886" w:rsidP="00A02886">
      <w:pPr>
        <w:pStyle w:val="Style3"/>
      </w:pPr>
      <w:r w:rsidRPr="00142BE0">
        <w:t>Protests on the bow numbers can be lodged only by the Race Committee. This changes RRS 60.1 and 60.3.</w:t>
      </w:r>
    </w:p>
    <w:p w:rsidR="00A02886" w:rsidRPr="00142BE0" w:rsidRDefault="00A02886" w:rsidP="00A02886">
      <w:pPr>
        <w:pStyle w:val="Style1"/>
        <w:rPr>
          <w:rFonts w:cs="Times New Roman"/>
        </w:rPr>
      </w:pPr>
      <w:r w:rsidRPr="00142BE0">
        <w:rPr>
          <w:rFonts w:cs="Times New Roman"/>
        </w:rPr>
        <w:t>7</w:t>
      </w:r>
      <w:r w:rsidRPr="00142BE0">
        <w:rPr>
          <w:rFonts w:cs="Times New Roman"/>
        </w:rPr>
        <w:tab/>
        <w:t>Schedule</w:t>
      </w:r>
    </w:p>
    <w:tbl>
      <w:tblPr>
        <w:tblStyle w:val="TableGrid"/>
        <w:tblW w:w="5000" w:type="pct"/>
        <w:tblBorders>
          <w:top w:val="none" w:sz="0" w:space="0" w:color="auto"/>
          <w:left w:val="none" w:sz="0" w:space="0" w:color="auto"/>
          <w:bottom w:val="none" w:sz="0" w:space="0" w:color="auto"/>
          <w:right w:val="none" w:sz="0" w:space="0" w:color="auto"/>
        </w:tblBorders>
        <w:tblLook w:val="04A0"/>
      </w:tblPr>
      <w:tblGrid>
        <w:gridCol w:w="2699"/>
        <w:gridCol w:w="1802"/>
        <w:gridCol w:w="4787"/>
      </w:tblGrid>
      <w:tr w:rsidR="00A02886" w:rsidRPr="00B1289C" w:rsidTr="007B3BFC">
        <w:tc>
          <w:tcPr>
            <w:tcW w:w="1453" w:type="pct"/>
            <w:vAlign w:val="center"/>
          </w:tcPr>
          <w:p w:rsidR="00A02886" w:rsidRPr="00B1289C" w:rsidRDefault="00A02886" w:rsidP="007B3BFC">
            <w:pPr>
              <w:pStyle w:val="Style3"/>
              <w:jc w:val="center"/>
            </w:pPr>
            <w:r w:rsidRPr="00B1289C">
              <w:t>Thursday</w:t>
            </w:r>
            <w:r>
              <w:t>,29 AUGUST 2019</w:t>
            </w:r>
          </w:p>
        </w:tc>
        <w:tc>
          <w:tcPr>
            <w:tcW w:w="970" w:type="pct"/>
          </w:tcPr>
          <w:p w:rsidR="00A02886" w:rsidRDefault="00A02886" w:rsidP="007B3BFC">
            <w:pPr>
              <w:pStyle w:val="Style3"/>
              <w:jc w:val="center"/>
            </w:pPr>
            <w:r>
              <w:t>17.00 – 20.00</w:t>
            </w:r>
          </w:p>
          <w:p w:rsidR="00A02886" w:rsidRDefault="00A02886" w:rsidP="007B3BFC">
            <w:pPr>
              <w:pStyle w:val="Style3"/>
              <w:jc w:val="center"/>
            </w:pPr>
            <w:r>
              <w:t>20.30</w:t>
            </w:r>
          </w:p>
        </w:tc>
        <w:tc>
          <w:tcPr>
            <w:tcW w:w="2577" w:type="pct"/>
          </w:tcPr>
          <w:p w:rsidR="00A02886" w:rsidRDefault="00A02886" w:rsidP="007B3BFC">
            <w:pPr>
              <w:pStyle w:val="Style3"/>
            </w:pPr>
            <w:r>
              <w:t>R</w:t>
            </w:r>
            <w:r w:rsidRPr="00B1289C">
              <w:t xml:space="preserve">egistration </w:t>
            </w:r>
            <w:r>
              <w:t xml:space="preserve">- </w:t>
            </w:r>
            <w:r w:rsidRPr="00B1289C">
              <w:t xml:space="preserve">Race Office Marina </w:t>
            </w:r>
            <w:proofErr w:type="spellStart"/>
            <w:r w:rsidRPr="00B1289C">
              <w:t>Eforie</w:t>
            </w:r>
            <w:proofErr w:type="spellEnd"/>
          </w:p>
          <w:p w:rsidR="00A02886" w:rsidRPr="00B1289C" w:rsidRDefault="00A02886" w:rsidP="007B3BFC">
            <w:pPr>
              <w:pStyle w:val="Style3"/>
            </w:pPr>
            <w:r>
              <w:t>T</w:t>
            </w:r>
            <w:r w:rsidRPr="00B1289C">
              <w:t>echnical meeting</w:t>
            </w:r>
          </w:p>
        </w:tc>
      </w:tr>
      <w:tr w:rsidR="00A02886" w:rsidRPr="00B1289C" w:rsidTr="007B3BFC">
        <w:tc>
          <w:tcPr>
            <w:tcW w:w="1453" w:type="pct"/>
            <w:vAlign w:val="center"/>
          </w:tcPr>
          <w:p w:rsidR="00A02886" w:rsidRPr="00B1289C" w:rsidRDefault="00A02886" w:rsidP="007B3BFC">
            <w:pPr>
              <w:pStyle w:val="Style3"/>
              <w:jc w:val="center"/>
            </w:pPr>
            <w:r w:rsidRPr="00B1289C">
              <w:t>Friday,</w:t>
            </w:r>
            <w:r>
              <w:t>30 AUGUST 2019</w:t>
            </w:r>
          </w:p>
        </w:tc>
        <w:tc>
          <w:tcPr>
            <w:tcW w:w="970" w:type="pct"/>
          </w:tcPr>
          <w:p w:rsidR="00A02886" w:rsidRPr="00B1289C" w:rsidRDefault="00A02886" w:rsidP="007B3BFC">
            <w:pPr>
              <w:pStyle w:val="Style3"/>
              <w:jc w:val="center"/>
            </w:pPr>
            <w:r>
              <w:t>10.55</w:t>
            </w:r>
          </w:p>
        </w:tc>
        <w:tc>
          <w:tcPr>
            <w:tcW w:w="2577" w:type="pct"/>
          </w:tcPr>
          <w:p w:rsidR="00A02886" w:rsidRPr="00B1289C" w:rsidRDefault="00A02886" w:rsidP="007B3BFC">
            <w:pPr>
              <w:pStyle w:val="Style3"/>
            </w:pPr>
            <w:r w:rsidRPr="00B1289C">
              <w:t xml:space="preserve">Inshore races in front of Marina </w:t>
            </w:r>
            <w:proofErr w:type="spellStart"/>
            <w:r w:rsidRPr="00B1289C">
              <w:t>Eforie</w:t>
            </w:r>
            <w:proofErr w:type="spellEnd"/>
            <w:r w:rsidRPr="00B1289C">
              <w:t xml:space="preserve"> </w:t>
            </w:r>
          </w:p>
        </w:tc>
      </w:tr>
      <w:tr w:rsidR="00A02886" w:rsidRPr="00B1289C" w:rsidTr="007B3BFC">
        <w:tc>
          <w:tcPr>
            <w:tcW w:w="1453" w:type="pct"/>
            <w:vAlign w:val="center"/>
          </w:tcPr>
          <w:p w:rsidR="00A02886" w:rsidRPr="00B1289C" w:rsidRDefault="00A02886" w:rsidP="007B3BFC">
            <w:pPr>
              <w:pStyle w:val="Style3"/>
              <w:jc w:val="center"/>
            </w:pPr>
            <w:r w:rsidRPr="00B1289C">
              <w:t xml:space="preserve">Saturday, </w:t>
            </w:r>
            <w:r>
              <w:t>31 AUGUST 2019</w:t>
            </w:r>
          </w:p>
        </w:tc>
        <w:tc>
          <w:tcPr>
            <w:tcW w:w="970" w:type="pct"/>
          </w:tcPr>
          <w:p w:rsidR="00A02886" w:rsidRPr="00B1289C" w:rsidRDefault="00A02886" w:rsidP="007B3BFC">
            <w:pPr>
              <w:pStyle w:val="Style3"/>
              <w:jc w:val="center"/>
            </w:pPr>
            <w:r>
              <w:t>09.25</w:t>
            </w:r>
          </w:p>
        </w:tc>
        <w:tc>
          <w:tcPr>
            <w:tcW w:w="2577" w:type="pct"/>
          </w:tcPr>
          <w:p w:rsidR="00A02886" w:rsidRPr="00B1289C" w:rsidRDefault="00A02886" w:rsidP="007B3BFC">
            <w:pPr>
              <w:pStyle w:val="Style3"/>
            </w:pPr>
            <w:r w:rsidRPr="00B1289C">
              <w:t xml:space="preserve">Offshore race </w:t>
            </w:r>
            <w:proofErr w:type="spellStart"/>
            <w:r w:rsidRPr="00B1289C">
              <w:t>Eforie</w:t>
            </w:r>
            <w:proofErr w:type="spellEnd"/>
            <w:r w:rsidRPr="00B1289C">
              <w:t xml:space="preserve"> Nord – </w:t>
            </w:r>
            <w:proofErr w:type="spellStart"/>
            <w:r w:rsidRPr="00B1289C">
              <w:t>Balcic</w:t>
            </w:r>
            <w:proofErr w:type="spellEnd"/>
          </w:p>
        </w:tc>
      </w:tr>
      <w:tr w:rsidR="00A02886" w:rsidRPr="009B6DC5" w:rsidTr="007B3BFC">
        <w:tc>
          <w:tcPr>
            <w:tcW w:w="1453" w:type="pct"/>
            <w:vAlign w:val="center"/>
          </w:tcPr>
          <w:p w:rsidR="00A02886" w:rsidRPr="00B1289C" w:rsidRDefault="00A02886" w:rsidP="007B3BFC">
            <w:pPr>
              <w:pStyle w:val="Style3"/>
              <w:jc w:val="center"/>
            </w:pPr>
            <w:r w:rsidRPr="00B1289C">
              <w:lastRenderedPageBreak/>
              <w:t xml:space="preserve">Sunday, </w:t>
            </w:r>
            <w:r>
              <w:t>1 SEPTEMBER 2019</w:t>
            </w:r>
          </w:p>
        </w:tc>
        <w:tc>
          <w:tcPr>
            <w:tcW w:w="970" w:type="pct"/>
          </w:tcPr>
          <w:p w:rsidR="00A02886" w:rsidRDefault="00A02886" w:rsidP="007B3BFC">
            <w:pPr>
              <w:pStyle w:val="Style3"/>
              <w:jc w:val="center"/>
            </w:pPr>
            <w:r>
              <w:t>12.25</w:t>
            </w:r>
          </w:p>
          <w:p w:rsidR="00A02886" w:rsidRPr="00B1289C" w:rsidRDefault="00A02886" w:rsidP="007B3BFC">
            <w:pPr>
              <w:pStyle w:val="Style3"/>
              <w:jc w:val="center"/>
            </w:pPr>
            <w:r>
              <w:t>TBA</w:t>
            </w:r>
          </w:p>
        </w:tc>
        <w:tc>
          <w:tcPr>
            <w:tcW w:w="2577" w:type="pct"/>
          </w:tcPr>
          <w:p w:rsidR="00A02886" w:rsidRDefault="00A02886" w:rsidP="007B3BFC">
            <w:pPr>
              <w:pStyle w:val="Style3"/>
            </w:pPr>
            <w:r w:rsidRPr="00B1289C">
              <w:t xml:space="preserve">Costal race </w:t>
            </w:r>
            <w:proofErr w:type="spellStart"/>
            <w:r w:rsidRPr="00B1289C">
              <w:t>Balcic-Albena-Balcic</w:t>
            </w:r>
            <w:proofErr w:type="spellEnd"/>
          </w:p>
          <w:p w:rsidR="00A02886" w:rsidRPr="009B6DC5" w:rsidRDefault="00A02886" w:rsidP="007B3BFC">
            <w:pPr>
              <w:pStyle w:val="Style3"/>
            </w:pPr>
            <w:r>
              <w:t>P</w:t>
            </w:r>
            <w:r w:rsidRPr="00B1289C">
              <w:t xml:space="preserve">rize </w:t>
            </w:r>
            <w:r w:rsidRPr="009B6DC5">
              <w:t>giving ceremony</w:t>
            </w:r>
          </w:p>
        </w:tc>
      </w:tr>
    </w:tbl>
    <w:p w:rsidR="00A02886" w:rsidRPr="00142BE0" w:rsidRDefault="00A02886" w:rsidP="00A02886">
      <w:pPr>
        <w:pStyle w:val="Style1"/>
        <w:rPr>
          <w:rFonts w:cs="Times New Roman"/>
        </w:rPr>
      </w:pPr>
      <w:r w:rsidRPr="00142BE0">
        <w:rPr>
          <w:rFonts w:cs="Times New Roman"/>
        </w:rPr>
        <w:t>8</w:t>
      </w:r>
      <w:r w:rsidRPr="00142BE0">
        <w:rPr>
          <w:rFonts w:cs="Times New Roman"/>
        </w:rPr>
        <w:tab/>
        <w:t>Measurement</w:t>
      </w:r>
    </w:p>
    <w:p w:rsidR="00A02886" w:rsidRPr="00142BE0" w:rsidRDefault="00A02886" w:rsidP="00A02886">
      <w:pPr>
        <w:pStyle w:val="Style2"/>
        <w:rPr>
          <w:rFonts w:asciiTheme="minorHAnsi" w:hAnsiTheme="minorHAnsi"/>
          <w:sz w:val="22"/>
          <w:lang w:eastAsia="it-IT"/>
        </w:rPr>
      </w:pPr>
      <w:r w:rsidRPr="00142BE0">
        <w:t xml:space="preserve">At any time through the series even whilst boats are racing, sails, </w:t>
      </w:r>
      <w:r w:rsidRPr="00142BE0">
        <w:rPr>
          <w:szCs w:val="24"/>
        </w:rPr>
        <w:t>boat and crew weight and number of members shall be subject to scrutiny and to checks for compliance</w:t>
      </w:r>
      <w:r w:rsidRPr="00142BE0">
        <w:t xml:space="preserve"> with the rules at the discretion of the Race Committee.</w:t>
      </w:r>
    </w:p>
    <w:p w:rsidR="00A02886" w:rsidRPr="00142BE0" w:rsidRDefault="00A02886" w:rsidP="00A02886">
      <w:pPr>
        <w:pStyle w:val="Style1"/>
        <w:rPr>
          <w:rFonts w:cs="Times New Roman"/>
        </w:rPr>
      </w:pPr>
      <w:r w:rsidRPr="00142BE0">
        <w:rPr>
          <w:rFonts w:cs="Times New Roman"/>
        </w:rPr>
        <w:t xml:space="preserve">9 </w:t>
      </w:r>
      <w:r w:rsidRPr="00142BE0">
        <w:rPr>
          <w:rFonts w:cs="Times New Roman"/>
        </w:rPr>
        <w:tab/>
        <w:t>Sailing Instructions</w:t>
      </w:r>
    </w:p>
    <w:p w:rsidR="00A02886" w:rsidRPr="00142BE0" w:rsidRDefault="00A02886" w:rsidP="00A02886">
      <w:pPr>
        <w:pStyle w:val="Style3"/>
      </w:pPr>
      <w:r w:rsidRPr="00142BE0">
        <w:t>Sailing Instructions will be available for each entrant at completion of the registration formalities.</w:t>
      </w:r>
    </w:p>
    <w:p w:rsidR="00A02886" w:rsidRPr="00142BE0" w:rsidRDefault="00A02886" w:rsidP="00A02886">
      <w:pPr>
        <w:pStyle w:val="Style1"/>
        <w:rPr>
          <w:rFonts w:cs="Times New Roman"/>
        </w:rPr>
      </w:pPr>
      <w:r w:rsidRPr="00142BE0">
        <w:rPr>
          <w:rFonts w:cs="Times New Roman"/>
        </w:rPr>
        <w:t>10</w:t>
      </w:r>
      <w:r w:rsidRPr="00142BE0">
        <w:rPr>
          <w:rFonts w:cs="Times New Roman"/>
        </w:rPr>
        <w:tab/>
        <w:t>Scoring</w:t>
      </w:r>
    </w:p>
    <w:p w:rsidR="00A02886" w:rsidRPr="00142BE0" w:rsidRDefault="00A02886" w:rsidP="00A02886">
      <w:pPr>
        <w:pStyle w:val="Style3"/>
      </w:pPr>
      <w:r w:rsidRPr="00142BE0">
        <w:t>10.1.</w:t>
      </w:r>
      <w:r w:rsidRPr="00142BE0">
        <w:tab/>
        <w:t>The Low Point Scoring System of RRS Appendix A will apply.</w:t>
      </w:r>
    </w:p>
    <w:p w:rsidR="00A02886" w:rsidRPr="00142BE0" w:rsidRDefault="00A02886" w:rsidP="00A02886">
      <w:pPr>
        <w:pStyle w:val="Style3"/>
      </w:pPr>
      <w:r w:rsidRPr="00142BE0">
        <w:t>10.2.</w:t>
      </w:r>
      <w:r w:rsidRPr="00142BE0">
        <w:tab/>
        <w:t>Scoring for ORC classes:</w:t>
      </w:r>
    </w:p>
    <w:p w:rsidR="00A02886" w:rsidRPr="00142BE0" w:rsidRDefault="00A02886" w:rsidP="00A02886">
      <w:pPr>
        <w:pStyle w:val="Style3"/>
        <w:numPr>
          <w:ilvl w:val="0"/>
          <w:numId w:val="1"/>
        </w:numPr>
        <w:ind w:left="567" w:hanging="283"/>
      </w:pPr>
      <w:r w:rsidRPr="00400A31">
        <w:t xml:space="preserve">Offshore </w:t>
      </w:r>
      <w:r w:rsidRPr="00142BE0">
        <w:t xml:space="preserve">and/or </w:t>
      </w:r>
      <w:r w:rsidRPr="00400A31">
        <w:t xml:space="preserve">costal </w:t>
      </w:r>
      <w:r w:rsidRPr="00440C39">
        <w:t>race</w:t>
      </w:r>
      <w:r w:rsidRPr="00142BE0">
        <w:t xml:space="preserve">(s) results will be determined by corrected times calculated by </w:t>
      </w:r>
      <w:r w:rsidRPr="00400A31">
        <w:rPr>
          <w:b/>
        </w:rPr>
        <w:t>Time on Time</w:t>
      </w:r>
      <w:r w:rsidRPr="00142BE0">
        <w:t xml:space="preserve"> method</w:t>
      </w:r>
      <w:r>
        <w:t>.</w:t>
      </w:r>
    </w:p>
    <w:p w:rsidR="00A02886" w:rsidRPr="00142BE0" w:rsidRDefault="00A02886" w:rsidP="00A02886">
      <w:pPr>
        <w:pStyle w:val="Style3"/>
        <w:numPr>
          <w:ilvl w:val="0"/>
          <w:numId w:val="1"/>
        </w:numPr>
        <w:ind w:left="567" w:hanging="283"/>
      </w:pPr>
      <w:r w:rsidRPr="00400A31">
        <w:t xml:space="preserve">Inshore </w:t>
      </w:r>
      <w:r w:rsidRPr="00142BE0">
        <w:t>race(s) results</w:t>
      </w:r>
      <w:r>
        <w:t xml:space="preserve"> </w:t>
      </w:r>
      <w:r w:rsidRPr="00142BE0">
        <w:t>will be determined by corrected times calculated by</w:t>
      </w:r>
      <w:r>
        <w:t xml:space="preserve"> </w:t>
      </w:r>
      <w:r w:rsidRPr="00400A31">
        <w:rPr>
          <w:b/>
        </w:rPr>
        <w:t>Triple number</w:t>
      </w:r>
      <w:r>
        <w:t xml:space="preserve"> method.</w:t>
      </w:r>
    </w:p>
    <w:p w:rsidR="00A02886" w:rsidRPr="00142BE0" w:rsidRDefault="00A02886" w:rsidP="00A02886">
      <w:pPr>
        <w:pStyle w:val="Style3"/>
      </w:pPr>
      <w:r w:rsidRPr="00142BE0">
        <w:t>10.3</w:t>
      </w:r>
      <w:r>
        <w:t>.</w:t>
      </w:r>
      <w:r w:rsidRPr="00142BE0">
        <w:tab/>
        <w:t xml:space="preserve">Scoring for IRC classes will be calculated by the application of the </w:t>
      </w:r>
      <w:r w:rsidRPr="00400A31">
        <w:rPr>
          <w:b/>
        </w:rPr>
        <w:t>IRC Time Corrector</w:t>
      </w:r>
      <w:r>
        <w:rPr>
          <w:b/>
        </w:rPr>
        <w:t xml:space="preserve"> Factor</w:t>
      </w:r>
      <w:r w:rsidRPr="00142BE0">
        <w:t xml:space="preserve"> (TCC) as a multiplier of elapsed time.</w:t>
      </w:r>
    </w:p>
    <w:p w:rsidR="00A02886" w:rsidRDefault="00A02886" w:rsidP="00A02886">
      <w:pPr>
        <w:pStyle w:val="Style3"/>
      </w:pPr>
      <w:r w:rsidRPr="00142BE0">
        <w:t>10.4 Scoring for Rally Class will be determined by corrected times calculated by formula:</w:t>
      </w:r>
    </w:p>
    <w:p w:rsidR="00A02886" w:rsidRDefault="00A02886" w:rsidP="00A02886">
      <w:pPr>
        <w:pStyle w:val="Style2"/>
        <w:ind w:firstLine="567"/>
      </w:pPr>
      <w:r w:rsidRPr="00142BE0">
        <w:rPr>
          <w:b/>
        </w:rPr>
        <w:t>CT = ET x TCF</w:t>
      </w:r>
      <w:r w:rsidRPr="00142BE0">
        <w:t xml:space="preserve"> </w:t>
      </w:r>
      <w:r w:rsidRPr="00142BE0">
        <w:tab/>
        <w:t>CT (Corrected Time), ET (Elapsed Time), TCF (Time Corrector Factor)</w:t>
      </w:r>
    </w:p>
    <w:p w:rsidR="00A02886" w:rsidRDefault="00A02886" w:rsidP="00A02886">
      <w:pPr>
        <w:pStyle w:val="Style2"/>
        <w:ind w:firstLine="567"/>
      </w:pPr>
      <w:r w:rsidRPr="00142BE0">
        <w:rPr>
          <w:b/>
        </w:rPr>
        <w:t>TCF = (0</w:t>
      </w:r>
      <w:proofErr w:type="gramStart"/>
      <w:r w:rsidRPr="00142BE0">
        <w:rPr>
          <w:b/>
        </w:rPr>
        <w:t>,2424x</w:t>
      </w:r>
      <w:proofErr w:type="gramEnd"/>
      <w:r w:rsidRPr="00142BE0">
        <w:rPr>
          <w:b/>
        </w:rPr>
        <w:t>√R)/(1+0,0567x√R</w:t>
      </w:r>
      <w:r w:rsidRPr="00142BE0">
        <w:t>)</w:t>
      </w:r>
    </w:p>
    <w:p w:rsidR="00A02886" w:rsidRDefault="00A02886" w:rsidP="00A02886">
      <w:pPr>
        <w:pStyle w:val="Style2"/>
        <w:ind w:firstLine="567"/>
        <w:rPr>
          <w:b/>
        </w:rPr>
      </w:pPr>
      <w:r w:rsidRPr="00142BE0">
        <w:rPr>
          <w:b/>
        </w:rPr>
        <w:t>R (Rating) = LOA (m) x 2</w:t>
      </w:r>
      <w:proofErr w:type="gramStart"/>
      <w:r w:rsidRPr="00142BE0">
        <w:rPr>
          <w:b/>
        </w:rPr>
        <w:t>,65</w:t>
      </w:r>
      <w:proofErr w:type="gramEnd"/>
      <w:r w:rsidRPr="00142BE0">
        <w:rPr>
          <w:b/>
        </w:rPr>
        <w:t xml:space="preserve"> – (age reduction)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1460"/>
        <w:gridCol w:w="1568"/>
        <w:gridCol w:w="1568"/>
        <w:gridCol w:w="1568"/>
        <w:gridCol w:w="1568"/>
      </w:tblGrid>
      <w:tr w:rsidR="00A02886" w:rsidRPr="00142BE0" w:rsidTr="007B3BFC">
        <w:trPr>
          <w:jc w:val="center"/>
        </w:trPr>
        <w:tc>
          <w:tcPr>
            <w:tcW w:w="838" w:type="pct"/>
          </w:tcPr>
          <w:p w:rsidR="00A02886" w:rsidRPr="00142BE0" w:rsidRDefault="00A02886" w:rsidP="007B3BFC">
            <w:pPr>
              <w:pStyle w:val="Style2"/>
              <w:jc w:val="center"/>
              <w:rPr>
                <w:b/>
              </w:rPr>
            </w:pPr>
            <w:r w:rsidRPr="00142BE0">
              <w:rPr>
                <w:b/>
              </w:rPr>
              <w:t>Age reduction</w:t>
            </w:r>
          </w:p>
        </w:tc>
        <w:tc>
          <w:tcPr>
            <w:tcW w:w="786" w:type="pct"/>
          </w:tcPr>
          <w:p w:rsidR="00A02886" w:rsidRPr="00142BE0" w:rsidRDefault="00A02886" w:rsidP="007B3BFC">
            <w:pPr>
              <w:pStyle w:val="Style2"/>
              <w:jc w:val="center"/>
            </w:pPr>
          </w:p>
        </w:tc>
        <w:tc>
          <w:tcPr>
            <w:tcW w:w="844" w:type="pct"/>
          </w:tcPr>
          <w:p w:rsidR="00A02886" w:rsidRPr="00142BE0" w:rsidRDefault="00A02886" w:rsidP="007B3BFC">
            <w:pPr>
              <w:pStyle w:val="Style2"/>
              <w:jc w:val="center"/>
            </w:pPr>
          </w:p>
        </w:tc>
        <w:tc>
          <w:tcPr>
            <w:tcW w:w="844" w:type="pct"/>
          </w:tcPr>
          <w:p w:rsidR="00A02886" w:rsidRPr="00142BE0" w:rsidRDefault="00A02886" w:rsidP="007B3BFC">
            <w:pPr>
              <w:pStyle w:val="Style2"/>
              <w:jc w:val="center"/>
            </w:pPr>
          </w:p>
        </w:tc>
        <w:tc>
          <w:tcPr>
            <w:tcW w:w="844" w:type="pct"/>
          </w:tcPr>
          <w:p w:rsidR="00A02886" w:rsidRPr="00142BE0" w:rsidRDefault="00A02886" w:rsidP="007B3BFC">
            <w:pPr>
              <w:pStyle w:val="Style2"/>
              <w:jc w:val="center"/>
            </w:pPr>
          </w:p>
        </w:tc>
        <w:tc>
          <w:tcPr>
            <w:tcW w:w="844" w:type="pct"/>
          </w:tcPr>
          <w:p w:rsidR="00A02886" w:rsidRPr="00142BE0" w:rsidRDefault="00A02886" w:rsidP="007B3BFC">
            <w:pPr>
              <w:pStyle w:val="Style2"/>
              <w:jc w:val="center"/>
            </w:pPr>
          </w:p>
        </w:tc>
      </w:tr>
      <w:tr w:rsidR="00A02886" w:rsidRPr="00142BE0" w:rsidTr="007B3BFC">
        <w:trPr>
          <w:jc w:val="center"/>
        </w:trPr>
        <w:tc>
          <w:tcPr>
            <w:tcW w:w="838" w:type="pct"/>
            <w:tcBorders>
              <w:bottom w:val="single" w:sz="4" w:space="0" w:color="auto"/>
              <w:right w:val="single" w:sz="4" w:space="0" w:color="auto"/>
            </w:tcBorders>
          </w:tcPr>
          <w:p w:rsidR="00A02886" w:rsidRPr="00142BE0" w:rsidRDefault="00A02886" w:rsidP="007B3BFC">
            <w:pPr>
              <w:pStyle w:val="Style2"/>
              <w:jc w:val="center"/>
            </w:pPr>
            <w:r w:rsidRPr="00142BE0">
              <w:t>201</w:t>
            </w:r>
            <w:r>
              <w:t>9</w:t>
            </w:r>
            <w:r w:rsidRPr="00142BE0">
              <w:t xml:space="preserve">   % 0,00</w:t>
            </w:r>
          </w:p>
        </w:tc>
        <w:tc>
          <w:tcPr>
            <w:tcW w:w="786" w:type="pct"/>
            <w:tcBorders>
              <w:left w:val="single" w:sz="4" w:space="0" w:color="auto"/>
              <w:bottom w:val="single" w:sz="4" w:space="0" w:color="auto"/>
              <w:right w:val="single" w:sz="4" w:space="0" w:color="auto"/>
            </w:tcBorders>
          </w:tcPr>
          <w:p w:rsidR="00A02886" w:rsidRPr="00142BE0" w:rsidRDefault="00A02886" w:rsidP="007B3BFC">
            <w:pPr>
              <w:pStyle w:val="Style2"/>
              <w:jc w:val="center"/>
            </w:pPr>
            <w:r>
              <w:t>2012   % 2,8</w:t>
            </w:r>
            <w:r w:rsidRPr="00142BE0">
              <w:t>0</w:t>
            </w:r>
          </w:p>
        </w:tc>
        <w:tc>
          <w:tcPr>
            <w:tcW w:w="844" w:type="pct"/>
            <w:tcBorders>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2005   % </w:t>
            </w:r>
            <w:r>
              <w:t>8.40</w:t>
            </w:r>
          </w:p>
        </w:tc>
        <w:tc>
          <w:tcPr>
            <w:tcW w:w="844" w:type="pct"/>
            <w:tcBorders>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1998   % </w:t>
            </w:r>
            <w:r>
              <w:t>14.80</w:t>
            </w:r>
          </w:p>
        </w:tc>
        <w:tc>
          <w:tcPr>
            <w:tcW w:w="844" w:type="pct"/>
            <w:tcBorders>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1991   % </w:t>
            </w:r>
            <w:r>
              <w:t>22.80</w:t>
            </w:r>
          </w:p>
        </w:tc>
        <w:tc>
          <w:tcPr>
            <w:tcW w:w="844" w:type="pct"/>
            <w:tcBorders>
              <w:left w:val="single" w:sz="4" w:space="0" w:color="auto"/>
              <w:bottom w:val="single" w:sz="4" w:space="0" w:color="auto"/>
            </w:tcBorders>
          </w:tcPr>
          <w:p w:rsidR="00A02886" w:rsidRPr="00142BE0" w:rsidRDefault="00A02886" w:rsidP="007B3BFC">
            <w:pPr>
              <w:pStyle w:val="Style2"/>
              <w:jc w:val="center"/>
            </w:pPr>
            <w:r w:rsidRPr="00142BE0">
              <w:t xml:space="preserve">1984   % </w:t>
            </w:r>
            <w:r>
              <w:t>32.00</w:t>
            </w:r>
          </w:p>
        </w:tc>
      </w:tr>
      <w:tr w:rsidR="00A02886" w:rsidRPr="00142BE0" w:rsidTr="007B3BFC">
        <w:trPr>
          <w:jc w:val="center"/>
        </w:trPr>
        <w:tc>
          <w:tcPr>
            <w:tcW w:w="838" w:type="pct"/>
            <w:tcBorders>
              <w:top w:val="single" w:sz="4" w:space="0" w:color="auto"/>
              <w:bottom w:val="single" w:sz="4" w:space="0" w:color="auto"/>
              <w:right w:val="single" w:sz="4" w:space="0" w:color="auto"/>
            </w:tcBorders>
          </w:tcPr>
          <w:p w:rsidR="00A02886" w:rsidRPr="00142BE0" w:rsidRDefault="00A02886" w:rsidP="007B3BFC">
            <w:pPr>
              <w:pStyle w:val="Style2"/>
              <w:jc w:val="center"/>
            </w:pPr>
            <w:r w:rsidRPr="00142BE0">
              <w:t>2018   % 0,</w:t>
            </w:r>
            <w:r>
              <w:t>4</w:t>
            </w:r>
            <w:r w:rsidRPr="00142BE0">
              <w:t>0</w:t>
            </w:r>
          </w:p>
        </w:tc>
        <w:tc>
          <w:tcPr>
            <w:tcW w:w="786"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2011   % </w:t>
            </w:r>
            <w:r>
              <w:t>3.60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2004   % </w:t>
            </w:r>
            <w:r>
              <w:t>9.20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1997   % </w:t>
            </w:r>
            <w:r>
              <w:t>15.80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1990   % </w:t>
            </w:r>
            <w:r>
              <w:t>23.60</w:t>
            </w:r>
          </w:p>
        </w:tc>
        <w:tc>
          <w:tcPr>
            <w:tcW w:w="844" w:type="pct"/>
            <w:tcBorders>
              <w:top w:val="single" w:sz="4" w:space="0" w:color="auto"/>
              <w:left w:val="single" w:sz="4" w:space="0" w:color="auto"/>
              <w:bottom w:val="single" w:sz="4" w:space="0" w:color="auto"/>
            </w:tcBorders>
          </w:tcPr>
          <w:p w:rsidR="00A02886" w:rsidRPr="00142BE0" w:rsidRDefault="00A02886" w:rsidP="007B3BFC">
            <w:pPr>
              <w:pStyle w:val="Style2"/>
              <w:jc w:val="center"/>
            </w:pPr>
            <w:r w:rsidRPr="00142BE0">
              <w:t xml:space="preserve">1983   % </w:t>
            </w:r>
            <w:r>
              <w:t>33.40</w:t>
            </w:r>
          </w:p>
        </w:tc>
      </w:tr>
      <w:tr w:rsidR="00A02886" w:rsidRPr="00142BE0" w:rsidTr="007B3BFC">
        <w:trPr>
          <w:jc w:val="center"/>
        </w:trPr>
        <w:tc>
          <w:tcPr>
            <w:tcW w:w="838" w:type="pct"/>
            <w:tcBorders>
              <w:top w:val="single" w:sz="4" w:space="0" w:color="auto"/>
              <w:bottom w:val="single" w:sz="4" w:space="0" w:color="auto"/>
              <w:right w:val="single" w:sz="4" w:space="0" w:color="auto"/>
            </w:tcBorders>
          </w:tcPr>
          <w:p w:rsidR="00A02886" w:rsidRPr="00142BE0" w:rsidRDefault="00A02886" w:rsidP="007B3BFC">
            <w:pPr>
              <w:pStyle w:val="Style2"/>
              <w:jc w:val="center"/>
            </w:pPr>
            <w:r w:rsidRPr="00142BE0">
              <w:t>2017   % 0,</w:t>
            </w:r>
            <w:r>
              <w:t>8</w:t>
            </w:r>
            <w:r w:rsidRPr="00142BE0">
              <w:t>0</w:t>
            </w:r>
          </w:p>
        </w:tc>
        <w:tc>
          <w:tcPr>
            <w:tcW w:w="786"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2010   % </w:t>
            </w:r>
            <w:r>
              <w:t>4.40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2003   % </w:t>
            </w:r>
            <w:r>
              <w:t>10.00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1996   % </w:t>
            </w:r>
            <w:r>
              <w:t>16.80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1989   % </w:t>
            </w:r>
            <w:r>
              <w:t>25.00</w:t>
            </w:r>
          </w:p>
        </w:tc>
        <w:tc>
          <w:tcPr>
            <w:tcW w:w="844" w:type="pct"/>
            <w:tcBorders>
              <w:top w:val="single" w:sz="4" w:space="0" w:color="auto"/>
              <w:left w:val="single" w:sz="4" w:space="0" w:color="auto"/>
              <w:bottom w:val="single" w:sz="4" w:space="0" w:color="auto"/>
            </w:tcBorders>
          </w:tcPr>
          <w:p w:rsidR="00A02886" w:rsidRPr="00142BE0" w:rsidRDefault="00A02886" w:rsidP="007B3BFC">
            <w:pPr>
              <w:pStyle w:val="Style2"/>
              <w:jc w:val="center"/>
            </w:pPr>
            <w:r w:rsidRPr="00142BE0">
              <w:t xml:space="preserve">1982   % </w:t>
            </w:r>
            <w:r>
              <w:t>34.80</w:t>
            </w:r>
          </w:p>
        </w:tc>
      </w:tr>
      <w:tr w:rsidR="00A02886" w:rsidRPr="00142BE0" w:rsidTr="007B3BFC">
        <w:trPr>
          <w:jc w:val="center"/>
        </w:trPr>
        <w:tc>
          <w:tcPr>
            <w:tcW w:w="838" w:type="pct"/>
            <w:tcBorders>
              <w:top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2016   % </w:t>
            </w:r>
            <w:r>
              <w:t>1.20</w:t>
            </w:r>
          </w:p>
        </w:tc>
        <w:tc>
          <w:tcPr>
            <w:tcW w:w="786"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2009   % </w:t>
            </w:r>
            <w:r>
              <w:t>5.20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2002   % 10.</w:t>
            </w:r>
            <w:r>
              <w:t>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1995   % </w:t>
            </w:r>
            <w:r>
              <w:t>17.80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1988   % </w:t>
            </w:r>
            <w:r>
              <w:t>26.40</w:t>
            </w:r>
          </w:p>
        </w:tc>
        <w:tc>
          <w:tcPr>
            <w:tcW w:w="844" w:type="pct"/>
            <w:tcBorders>
              <w:top w:val="single" w:sz="4" w:space="0" w:color="auto"/>
              <w:left w:val="single" w:sz="4" w:space="0" w:color="auto"/>
            </w:tcBorders>
          </w:tcPr>
          <w:p w:rsidR="00A02886" w:rsidRPr="00142BE0" w:rsidRDefault="00A02886" w:rsidP="007B3BFC">
            <w:pPr>
              <w:pStyle w:val="Style2"/>
              <w:jc w:val="center"/>
            </w:pPr>
            <w:r w:rsidRPr="00142BE0">
              <w:t xml:space="preserve">1981   % </w:t>
            </w:r>
            <w:r>
              <w:t>36.20</w:t>
            </w:r>
          </w:p>
        </w:tc>
      </w:tr>
      <w:tr w:rsidR="00A02886" w:rsidRPr="00142BE0" w:rsidTr="007B3BFC">
        <w:trPr>
          <w:jc w:val="center"/>
        </w:trPr>
        <w:tc>
          <w:tcPr>
            <w:tcW w:w="838" w:type="pct"/>
            <w:tcBorders>
              <w:top w:val="single" w:sz="4" w:space="0" w:color="auto"/>
              <w:bottom w:val="single" w:sz="4" w:space="0" w:color="auto"/>
              <w:right w:val="single" w:sz="4" w:space="0" w:color="auto"/>
            </w:tcBorders>
          </w:tcPr>
          <w:p w:rsidR="00A02886" w:rsidRPr="00142BE0" w:rsidRDefault="00A02886" w:rsidP="007B3BFC">
            <w:pPr>
              <w:pStyle w:val="Style2"/>
              <w:jc w:val="center"/>
            </w:pPr>
            <w:r>
              <w:t>2015   % 1,6</w:t>
            </w:r>
            <w:r w:rsidRPr="00142BE0">
              <w:t>0</w:t>
            </w:r>
          </w:p>
        </w:tc>
        <w:tc>
          <w:tcPr>
            <w:tcW w:w="786"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2008   % </w:t>
            </w:r>
            <w:r>
              <w:t>6.00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2001   % </w:t>
            </w:r>
            <w:r>
              <w:t>11.80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1994   % </w:t>
            </w:r>
            <w:r>
              <w:t>18.80</w:t>
            </w:r>
          </w:p>
        </w:tc>
        <w:tc>
          <w:tcPr>
            <w:tcW w:w="844" w:type="pct"/>
            <w:tcBorders>
              <w:top w:val="single" w:sz="4" w:space="0" w:color="auto"/>
              <w:left w:val="single" w:sz="4" w:space="0" w:color="auto"/>
              <w:bottom w:val="single" w:sz="4" w:space="0" w:color="auto"/>
            </w:tcBorders>
          </w:tcPr>
          <w:p w:rsidR="00A02886" w:rsidRPr="00142BE0" w:rsidRDefault="00A02886" w:rsidP="007B3BFC">
            <w:pPr>
              <w:pStyle w:val="Style2"/>
              <w:jc w:val="center"/>
            </w:pPr>
            <w:r w:rsidRPr="00142BE0">
              <w:t xml:space="preserve">1987   % </w:t>
            </w:r>
            <w:r>
              <w:t>27.80</w:t>
            </w:r>
          </w:p>
        </w:tc>
        <w:tc>
          <w:tcPr>
            <w:tcW w:w="844" w:type="pct"/>
          </w:tcPr>
          <w:p w:rsidR="00A02886" w:rsidRPr="00142BE0" w:rsidRDefault="00A02886" w:rsidP="007B3BFC">
            <w:pPr>
              <w:pStyle w:val="Style2"/>
              <w:jc w:val="center"/>
            </w:pPr>
          </w:p>
        </w:tc>
      </w:tr>
      <w:tr w:rsidR="00A02886" w:rsidRPr="00142BE0" w:rsidTr="007B3BFC">
        <w:trPr>
          <w:jc w:val="center"/>
        </w:trPr>
        <w:tc>
          <w:tcPr>
            <w:tcW w:w="838" w:type="pct"/>
            <w:tcBorders>
              <w:top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2014   % </w:t>
            </w:r>
            <w:r>
              <w:t>2.00</w:t>
            </w:r>
          </w:p>
        </w:tc>
        <w:tc>
          <w:tcPr>
            <w:tcW w:w="786"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2007   % 6,</w:t>
            </w:r>
            <w:r>
              <w:t>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2000   % </w:t>
            </w:r>
            <w:r>
              <w:t>12.80</w:t>
            </w:r>
          </w:p>
        </w:tc>
        <w:tc>
          <w:tcPr>
            <w:tcW w:w="844" w:type="pct"/>
            <w:tcBorders>
              <w:top w:val="single" w:sz="4" w:space="0" w:color="auto"/>
              <w:left w:val="single" w:sz="4" w:space="0" w:color="auto"/>
              <w:bottom w:val="single" w:sz="4" w:space="0" w:color="auto"/>
              <w:right w:val="single" w:sz="4" w:space="0" w:color="auto"/>
            </w:tcBorders>
          </w:tcPr>
          <w:p w:rsidR="00A02886" w:rsidRPr="00142BE0" w:rsidRDefault="00A02886" w:rsidP="007B3BFC">
            <w:pPr>
              <w:pStyle w:val="Style2"/>
              <w:jc w:val="center"/>
            </w:pPr>
            <w:r w:rsidRPr="00142BE0">
              <w:t xml:space="preserve">1993   % </w:t>
            </w:r>
            <w:r>
              <w:t>19.80</w:t>
            </w:r>
          </w:p>
        </w:tc>
        <w:tc>
          <w:tcPr>
            <w:tcW w:w="844" w:type="pct"/>
            <w:tcBorders>
              <w:top w:val="single" w:sz="4" w:space="0" w:color="auto"/>
              <w:left w:val="single" w:sz="4" w:space="0" w:color="auto"/>
              <w:bottom w:val="single" w:sz="4" w:space="0" w:color="auto"/>
            </w:tcBorders>
          </w:tcPr>
          <w:p w:rsidR="00A02886" w:rsidRPr="00142BE0" w:rsidRDefault="00A02886" w:rsidP="007B3BFC">
            <w:pPr>
              <w:pStyle w:val="Style2"/>
              <w:jc w:val="center"/>
            </w:pPr>
            <w:r w:rsidRPr="00142BE0">
              <w:t xml:space="preserve">1986   % </w:t>
            </w:r>
            <w:r>
              <w:t>29.20</w:t>
            </w:r>
          </w:p>
        </w:tc>
        <w:tc>
          <w:tcPr>
            <w:tcW w:w="844" w:type="pct"/>
          </w:tcPr>
          <w:p w:rsidR="00A02886" w:rsidRPr="00142BE0" w:rsidRDefault="00A02886" w:rsidP="007B3BFC">
            <w:pPr>
              <w:pStyle w:val="Style2"/>
              <w:jc w:val="center"/>
            </w:pPr>
          </w:p>
        </w:tc>
      </w:tr>
      <w:tr w:rsidR="00A02886" w:rsidRPr="00142BE0" w:rsidTr="007B3BFC">
        <w:trPr>
          <w:jc w:val="center"/>
        </w:trPr>
        <w:tc>
          <w:tcPr>
            <w:tcW w:w="838" w:type="pct"/>
            <w:tcBorders>
              <w:top w:val="single" w:sz="4" w:space="0" w:color="auto"/>
              <w:right w:val="single" w:sz="4" w:space="0" w:color="auto"/>
            </w:tcBorders>
          </w:tcPr>
          <w:p w:rsidR="00A02886" w:rsidRPr="00142BE0" w:rsidRDefault="00A02886" w:rsidP="007B3BFC">
            <w:pPr>
              <w:pStyle w:val="Style2"/>
              <w:jc w:val="center"/>
            </w:pPr>
            <w:r>
              <w:t>2013   % 2,4</w:t>
            </w:r>
            <w:r w:rsidRPr="00142BE0">
              <w:t>0</w:t>
            </w:r>
          </w:p>
        </w:tc>
        <w:tc>
          <w:tcPr>
            <w:tcW w:w="786" w:type="pct"/>
            <w:tcBorders>
              <w:top w:val="single" w:sz="4" w:space="0" w:color="auto"/>
              <w:left w:val="single" w:sz="4" w:space="0" w:color="auto"/>
              <w:right w:val="single" w:sz="4" w:space="0" w:color="auto"/>
            </w:tcBorders>
          </w:tcPr>
          <w:p w:rsidR="00A02886" w:rsidRPr="00142BE0" w:rsidRDefault="00A02886" w:rsidP="007B3BFC">
            <w:pPr>
              <w:pStyle w:val="Style2"/>
              <w:jc w:val="center"/>
            </w:pPr>
            <w:r w:rsidRPr="00142BE0">
              <w:t xml:space="preserve">2006   % </w:t>
            </w:r>
            <w:r>
              <w:t>7.60</w:t>
            </w:r>
          </w:p>
        </w:tc>
        <w:tc>
          <w:tcPr>
            <w:tcW w:w="844" w:type="pct"/>
            <w:tcBorders>
              <w:top w:val="single" w:sz="4" w:space="0" w:color="auto"/>
              <w:left w:val="single" w:sz="4" w:space="0" w:color="auto"/>
              <w:right w:val="single" w:sz="4" w:space="0" w:color="auto"/>
            </w:tcBorders>
          </w:tcPr>
          <w:p w:rsidR="00A02886" w:rsidRPr="00142BE0" w:rsidRDefault="00A02886" w:rsidP="007B3BFC">
            <w:pPr>
              <w:pStyle w:val="Style2"/>
              <w:jc w:val="center"/>
            </w:pPr>
            <w:r w:rsidRPr="00142BE0">
              <w:t xml:space="preserve">1999   % </w:t>
            </w:r>
            <w:r>
              <w:t>13.80</w:t>
            </w:r>
          </w:p>
        </w:tc>
        <w:tc>
          <w:tcPr>
            <w:tcW w:w="844" w:type="pct"/>
            <w:tcBorders>
              <w:top w:val="single" w:sz="4" w:space="0" w:color="auto"/>
              <w:left w:val="single" w:sz="4" w:space="0" w:color="auto"/>
              <w:right w:val="single" w:sz="4" w:space="0" w:color="auto"/>
            </w:tcBorders>
          </w:tcPr>
          <w:p w:rsidR="00A02886" w:rsidRPr="00142BE0" w:rsidRDefault="00A02886" w:rsidP="007B3BFC">
            <w:pPr>
              <w:pStyle w:val="Style2"/>
              <w:jc w:val="center"/>
            </w:pPr>
            <w:r w:rsidRPr="00142BE0">
              <w:t xml:space="preserve">1992   % </w:t>
            </w:r>
            <w:r>
              <w:t>20.80</w:t>
            </w:r>
          </w:p>
        </w:tc>
        <w:tc>
          <w:tcPr>
            <w:tcW w:w="844" w:type="pct"/>
            <w:tcBorders>
              <w:top w:val="single" w:sz="4" w:space="0" w:color="auto"/>
              <w:left w:val="single" w:sz="4" w:space="0" w:color="auto"/>
            </w:tcBorders>
          </w:tcPr>
          <w:p w:rsidR="00A02886" w:rsidRPr="00142BE0" w:rsidRDefault="00A02886" w:rsidP="007B3BFC">
            <w:pPr>
              <w:pStyle w:val="Style2"/>
              <w:jc w:val="center"/>
            </w:pPr>
            <w:r w:rsidRPr="00142BE0">
              <w:t xml:space="preserve">1985   % </w:t>
            </w:r>
            <w:r>
              <w:t>30.60</w:t>
            </w:r>
          </w:p>
        </w:tc>
        <w:tc>
          <w:tcPr>
            <w:tcW w:w="844" w:type="pct"/>
          </w:tcPr>
          <w:p w:rsidR="00A02886" w:rsidRPr="00142BE0" w:rsidRDefault="00A02886" w:rsidP="007B3BFC">
            <w:pPr>
              <w:pStyle w:val="Style2"/>
              <w:jc w:val="center"/>
            </w:pPr>
          </w:p>
        </w:tc>
      </w:tr>
    </w:tbl>
    <w:p w:rsidR="00A02886" w:rsidRPr="00142BE0" w:rsidRDefault="00A02886" w:rsidP="00A02886">
      <w:pPr>
        <w:pStyle w:val="Style3"/>
      </w:pPr>
    </w:p>
    <w:p w:rsidR="00A02886" w:rsidRPr="00142BE0" w:rsidRDefault="00A02886" w:rsidP="00A02886">
      <w:pPr>
        <w:pStyle w:val="Style3"/>
      </w:pPr>
      <w:r w:rsidRPr="00142BE0">
        <w:t>10.4.</w:t>
      </w:r>
      <w:r w:rsidRPr="00142BE0">
        <w:tab/>
        <w:t>For the general results the following scoring coefficients will be applied:</w:t>
      </w:r>
    </w:p>
    <w:tbl>
      <w:tblPr>
        <w:tblStyle w:val="TableGrid"/>
        <w:tblW w:w="0" w:type="auto"/>
        <w:tblInd w:w="392" w:type="dxa"/>
        <w:tblBorders>
          <w:top w:val="none" w:sz="0" w:space="0" w:color="auto"/>
          <w:left w:val="none" w:sz="0" w:space="0" w:color="auto"/>
          <w:bottom w:val="none" w:sz="0" w:space="0" w:color="auto"/>
          <w:right w:val="none" w:sz="0" w:space="0" w:color="auto"/>
        </w:tblBorders>
        <w:tblLook w:val="04A0"/>
      </w:tblPr>
      <w:tblGrid>
        <w:gridCol w:w="4678"/>
        <w:gridCol w:w="2693"/>
      </w:tblGrid>
      <w:tr w:rsidR="00A02886" w:rsidRPr="00142BE0" w:rsidTr="007B3BFC">
        <w:tc>
          <w:tcPr>
            <w:tcW w:w="4678" w:type="dxa"/>
          </w:tcPr>
          <w:p w:rsidR="00A02886" w:rsidRPr="00142BE0" w:rsidRDefault="00A02886" w:rsidP="007B3BFC">
            <w:pPr>
              <w:pStyle w:val="Style3"/>
            </w:pPr>
            <w:r w:rsidRPr="00142BE0">
              <w:t>Inshore Races</w:t>
            </w:r>
          </w:p>
        </w:tc>
        <w:tc>
          <w:tcPr>
            <w:tcW w:w="2693" w:type="dxa"/>
          </w:tcPr>
          <w:p w:rsidR="00A02886" w:rsidRPr="00142BE0" w:rsidRDefault="00A02886" w:rsidP="007B3BFC">
            <w:pPr>
              <w:pStyle w:val="Style3"/>
            </w:pPr>
            <w:r w:rsidRPr="00142BE0">
              <w:t>scoring coefficient 1,00</w:t>
            </w:r>
          </w:p>
        </w:tc>
      </w:tr>
      <w:tr w:rsidR="00A02886" w:rsidRPr="00142BE0" w:rsidTr="007B3BFC">
        <w:tc>
          <w:tcPr>
            <w:tcW w:w="4678" w:type="dxa"/>
          </w:tcPr>
          <w:p w:rsidR="00A02886" w:rsidRPr="00142BE0" w:rsidRDefault="00A02886" w:rsidP="007B3BFC">
            <w:pPr>
              <w:pStyle w:val="Style3"/>
            </w:pPr>
            <w:r w:rsidRPr="00142BE0">
              <w:t>Offshore/Costal races: route length &lt; 40 Nm</w:t>
            </w:r>
          </w:p>
        </w:tc>
        <w:tc>
          <w:tcPr>
            <w:tcW w:w="2693" w:type="dxa"/>
          </w:tcPr>
          <w:p w:rsidR="00A02886" w:rsidRPr="00142BE0" w:rsidRDefault="00A02886" w:rsidP="007B3BFC">
            <w:pPr>
              <w:pStyle w:val="Style3"/>
            </w:pPr>
            <w:r w:rsidRPr="00142BE0">
              <w:t>scoring coefficient 1.20</w:t>
            </w:r>
          </w:p>
        </w:tc>
      </w:tr>
      <w:tr w:rsidR="00A02886" w:rsidRPr="00142BE0" w:rsidTr="007B3BFC">
        <w:tc>
          <w:tcPr>
            <w:tcW w:w="4678" w:type="dxa"/>
          </w:tcPr>
          <w:p w:rsidR="00A02886" w:rsidRPr="00142BE0" w:rsidRDefault="00A02886" w:rsidP="007B3BFC">
            <w:pPr>
              <w:pStyle w:val="Style3"/>
            </w:pPr>
            <w:r w:rsidRPr="00142BE0">
              <w:t>Offshore/Costal races: route length &gt; 40 Nm</w:t>
            </w:r>
          </w:p>
        </w:tc>
        <w:tc>
          <w:tcPr>
            <w:tcW w:w="2693" w:type="dxa"/>
          </w:tcPr>
          <w:p w:rsidR="00A02886" w:rsidRPr="00142BE0" w:rsidRDefault="00A02886" w:rsidP="007B3BFC">
            <w:pPr>
              <w:pStyle w:val="Style3"/>
            </w:pPr>
            <w:r w:rsidRPr="00142BE0">
              <w:t>scoring coefficient 1.50</w:t>
            </w:r>
          </w:p>
        </w:tc>
      </w:tr>
    </w:tbl>
    <w:p w:rsidR="00A02886" w:rsidRPr="00142BE0" w:rsidRDefault="00A02886" w:rsidP="00A02886">
      <w:pPr>
        <w:pStyle w:val="Style3"/>
      </w:pPr>
      <w:r w:rsidRPr="00142BE0">
        <w:t>10.5.</w:t>
      </w:r>
      <w:r w:rsidRPr="00142BE0">
        <w:tab/>
        <w:t>The regatta is valid if one race is completed</w:t>
      </w:r>
    </w:p>
    <w:p w:rsidR="00A02886" w:rsidRPr="005462C2" w:rsidRDefault="00A02886" w:rsidP="00A02886">
      <w:pPr>
        <w:pStyle w:val="Style3"/>
        <w:rPr>
          <w:color w:val="00B050"/>
        </w:rPr>
      </w:pPr>
      <w:r w:rsidRPr="00F864C4">
        <w:t>10.6.</w:t>
      </w:r>
      <w:r w:rsidRPr="00F864C4">
        <w:tab/>
      </w:r>
      <w:r>
        <w:rPr>
          <w:b/>
          <w:color w:val="0070C0"/>
        </w:rPr>
        <w:t>POSEIDON BALCHIK BLACK SEA INTERNATIONAL REGATTA 2019</w:t>
      </w:r>
      <w:r w:rsidRPr="00F864C4">
        <w:t xml:space="preserve"> is part of the Black Sea Sailing Trophy and Romania Cup and final results will be p</w:t>
      </w:r>
      <w:r w:rsidRPr="006915F4">
        <w:t xml:space="preserve">art of the general </w:t>
      </w:r>
      <w:r w:rsidRPr="005462C2">
        <w:t>scoring</w:t>
      </w:r>
      <w:r>
        <w:t>.</w:t>
      </w:r>
    </w:p>
    <w:p w:rsidR="00A02886" w:rsidRPr="00142BE0" w:rsidRDefault="00A02886" w:rsidP="00A02886">
      <w:pPr>
        <w:pStyle w:val="Style1"/>
        <w:rPr>
          <w:rFonts w:cs="Times New Roman"/>
        </w:rPr>
      </w:pPr>
      <w:r w:rsidRPr="00142BE0">
        <w:rPr>
          <w:rFonts w:cs="Times New Roman"/>
        </w:rPr>
        <w:t>11</w:t>
      </w:r>
      <w:r w:rsidRPr="00142BE0">
        <w:rPr>
          <w:rFonts w:cs="Times New Roman"/>
        </w:rPr>
        <w:tab/>
        <w:t>Support boats</w:t>
      </w:r>
    </w:p>
    <w:p w:rsidR="00A02886" w:rsidRPr="00142BE0" w:rsidRDefault="00A02886" w:rsidP="00A02886">
      <w:pPr>
        <w:pStyle w:val="Style2"/>
      </w:pPr>
      <w:r w:rsidRPr="00142BE0">
        <w:t>All support boats shall be registered at the race office. Identification numbers will be provided by the organizer. These numbers must be visible at all times.</w:t>
      </w:r>
    </w:p>
    <w:p w:rsidR="00A02886" w:rsidRPr="00142BE0" w:rsidRDefault="00A02886" w:rsidP="00A02886">
      <w:pPr>
        <w:pStyle w:val="Style1"/>
        <w:rPr>
          <w:rFonts w:cs="Times New Roman"/>
        </w:rPr>
      </w:pPr>
      <w:r w:rsidRPr="00142BE0">
        <w:rPr>
          <w:rFonts w:cs="Times New Roman"/>
        </w:rPr>
        <w:t xml:space="preserve">12 </w:t>
      </w:r>
      <w:r w:rsidRPr="00142BE0">
        <w:rPr>
          <w:rFonts w:cs="Times New Roman"/>
        </w:rPr>
        <w:tab/>
        <w:t>Berthing</w:t>
      </w:r>
    </w:p>
    <w:p w:rsidR="00A02886" w:rsidRPr="00142BE0" w:rsidRDefault="00A02886" w:rsidP="00A02886">
      <w:pPr>
        <w:pStyle w:val="Style2"/>
      </w:pPr>
      <w:r w:rsidRPr="00AA5486">
        <w:t xml:space="preserve">All boats will be berthed free of charge at the assigned places in Marina </w:t>
      </w:r>
      <w:proofErr w:type="spellStart"/>
      <w:r w:rsidRPr="00AA5486">
        <w:t>Eforie</w:t>
      </w:r>
      <w:proofErr w:type="spellEnd"/>
      <w:r w:rsidRPr="00AA5486">
        <w:t xml:space="preserve"> </w:t>
      </w:r>
      <w:r>
        <w:t>29-30 August</w:t>
      </w:r>
      <w:r w:rsidRPr="00AA5486">
        <w:rPr>
          <w:color w:val="244061" w:themeColor="accent1" w:themeShade="80"/>
          <w:sz w:val="24"/>
        </w:rPr>
        <w:t xml:space="preserve"> </w:t>
      </w:r>
      <w:r w:rsidRPr="00AA5486">
        <w:t xml:space="preserve">and Marina </w:t>
      </w:r>
      <w:proofErr w:type="spellStart"/>
      <w:r>
        <w:t>Balchik</w:t>
      </w:r>
      <w:proofErr w:type="spellEnd"/>
      <w:r>
        <w:t xml:space="preserve"> 31 August-1 September</w:t>
      </w:r>
    </w:p>
    <w:p w:rsidR="00A02886" w:rsidRPr="00142BE0" w:rsidRDefault="00A02886" w:rsidP="00A02886">
      <w:pPr>
        <w:pStyle w:val="Style1"/>
        <w:rPr>
          <w:rFonts w:cs="Times New Roman"/>
        </w:rPr>
      </w:pPr>
      <w:r w:rsidRPr="00142BE0">
        <w:rPr>
          <w:rFonts w:cs="Times New Roman"/>
        </w:rPr>
        <w:t>13. HAUL-OUT RESTRICTIONS</w:t>
      </w:r>
    </w:p>
    <w:p w:rsidR="00A02886" w:rsidRPr="00142BE0" w:rsidRDefault="00A02886" w:rsidP="00A02886">
      <w:pPr>
        <w:pStyle w:val="Style2"/>
      </w:pPr>
      <w:r w:rsidRPr="00142BE0">
        <w:t>From 17.00 of the first scheduled day of registration until the end of the last scheduled race of the series boats shall not be hauled out except for the purposes of repairing damage; and only after written permission from the Race Committee.</w:t>
      </w:r>
    </w:p>
    <w:p w:rsidR="00A02886" w:rsidRPr="00142BE0" w:rsidRDefault="00A02886" w:rsidP="00A02886">
      <w:pPr>
        <w:pStyle w:val="Style1"/>
        <w:rPr>
          <w:rFonts w:cs="Times New Roman"/>
        </w:rPr>
      </w:pPr>
      <w:r w:rsidRPr="00142BE0">
        <w:rPr>
          <w:rFonts w:cs="Times New Roman"/>
        </w:rPr>
        <w:lastRenderedPageBreak/>
        <w:t>14</w:t>
      </w:r>
      <w:r w:rsidRPr="00142BE0">
        <w:rPr>
          <w:rFonts w:cs="Times New Roman"/>
        </w:rPr>
        <w:tab/>
        <w:t>Media rights</w:t>
      </w:r>
    </w:p>
    <w:p w:rsidR="00A02886" w:rsidRPr="00142BE0" w:rsidRDefault="00A02886" w:rsidP="00A02886">
      <w:pPr>
        <w:pStyle w:val="Style2"/>
      </w:pPr>
      <w:r w:rsidRPr="00142BE0">
        <w:t>Competitors, owners and their guests grant absolute right and permission to the Organizing Authority for any photography and video footage taken of persons and boats during the event, to be published and/or broadcast in any media, including but not limited to TV advertisements, whatsoever for either editorial or advertising purposes or to be used in press information.</w:t>
      </w:r>
    </w:p>
    <w:p w:rsidR="00A02886" w:rsidRPr="00142BE0" w:rsidRDefault="00A02886" w:rsidP="00A02886">
      <w:pPr>
        <w:pStyle w:val="Style1"/>
        <w:rPr>
          <w:rFonts w:cs="Times New Roman"/>
        </w:rPr>
      </w:pPr>
      <w:r w:rsidRPr="00142BE0">
        <w:rPr>
          <w:rFonts w:cs="Times New Roman"/>
        </w:rPr>
        <w:t>15</w:t>
      </w:r>
      <w:r w:rsidRPr="00142BE0">
        <w:rPr>
          <w:rFonts w:cs="Times New Roman"/>
        </w:rPr>
        <w:tab/>
        <w:t>Communication</w:t>
      </w:r>
    </w:p>
    <w:p w:rsidR="00A02886" w:rsidRPr="00142BE0" w:rsidRDefault="00A02886" w:rsidP="00A02886">
      <w:pPr>
        <w:pStyle w:val="Style2"/>
      </w:pPr>
      <w:r w:rsidRPr="00142BE0">
        <w:t>Except in emergency or when communicating with the Race Committee, a boat that is racing, shall not make voice or data transmissions and shall not receive voice or data communication that is not available to all boats.</w:t>
      </w:r>
    </w:p>
    <w:p w:rsidR="00A02886" w:rsidRPr="00142BE0" w:rsidRDefault="00A02886" w:rsidP="00A02886">
      <w:pPr>
        <w:pStyle w:val="Style1"/>
        <w:rPr>
          <w:rFonts w:cs="Times New Roman"/>
        </w:rPr>
      </w:pPr>
      <w:r w:rsidRPr="00142BE0">
        <w:rPr>
          <w:rFonts w:cs="Times New Roman"/>
        </w:rPr>
        <w:t>16. TROPHIES AND PRIZES</w:t>
      </w:r>
    </w:p>
    <w:p w:rsidR="00A02886" w:rsidRPr="00142BE0" w:rsidRDefault="00A02886" w:rsidP="00A02886">
      <w:pPr>
        <w:pStyle w:val="Style3"/>
      </w:pPr>
      <w:r>
        <w:t>16.1.</w:t>
      </w:r>
      <w:r>
        <w:tab/>
      </w:r>
      <w:r w:rsidRPr="00142BE0">
        <w:t xml:space="preserve">Boats ranked first, second and third places of each ORC and IRC class will be awarded </w:t>
      </w:r>
      <w:r>
        <w:rPr>
          <w:b/>
          <w:color w:val="0070C0"/>
        </w:rPr>
        <w:t xml:space="preserve">Poseidon </w:t>
      </w:r>
      <w:proofErr w:type="spellStart"/>
      <w:r>
        <w:rPr>
          <w:b/>
          <w:color w:val="0070C0"/>
        </w:rPr>
        <w:t>Balchik</w:t>
      </w:r>
      <w:proofErr w:type="spellEnd"/>
      <w:r>
        <w:rPr>
          <w:b/>
          <w:color w:val="0070C0"/>
        </w:rPr>
        <w:t xml:space="preserve"> Black Sea International Regatta </w:t>
      </w:r>
      <w:r w:rsidRPr="00142BE0">
        <w:t>cups and medals.</w:t>
      </w:r>
    </w:p>
    <w:p w:rsidR="00A02886" w:rsidRDefault="00A02886" w:rsidP="00A02886">
      <w:pPr>
        <w:pStyle w:val="Style3"/>
      </w:pPr>
      <w:r>
        <w:t>16.2.</w:t>
      </w:r>
      <w:r>
        <w:tab/>
      </w:r>
      <w:r w:rsidRPr="00142BE0">
        <w:t xml:space="preserve">The Trophy </w:t>
      </w:r>
      <w:r>
        <w:rPr>
          <w:b/>
          <w:color w:val="0070C0"/>
        </w:rPr>
        <w:t xml:space="preserve">Poseidon </w:t>
      </w:r>
      <w:proofErr w:type="spellStart"/>
      <w:r>
        <w:rPr>
          <w:b/>
          <w:color w:val="0070C0"/>
        </w:rPr>
        <w:t>Balchik</w:t>
      </w:r>
      <w:proofErr w:type="spellEnd"/>
      <w:r>
        <w:rPr>
          <w:b/>
          <w:color w:val="0070C0"/>
          <w:lang w:val="bg-BG"/>
        </w:rPr>
        <w:t xml:space="preserve"> </w:t>
      </w:r>
      <w:r>
        <w:rPr>
          <w:b/>
          <w:color w:val="0070C0"/>
        </w:rPr>
        <w:t xml:space="preserve">Black Sea International Regatta 2019 </w:t>
      </w:r>
      <w:r w:rsidRPr="00142BE0">
        <w:t>will be awarded to designated winner for Rally Class only according to the result determined by corrected time of all boats participating in the offshore race.</w:t>
      </w:r>
    </w:p>
    <w:p w:rsidR="00A02886" w:rsidRPr="00142BE0" w:rsidRDefault="00A02886" w:rsidP="00A02886">
      <w:pPr>
        <w:pStyle w:val="Style3"/>
      </w:pPr>
      <w:r>
        <w:t xml:space="preserve">16.3.    Divisions ORC A and ORC B will be awarded separately and </w:t>
      </w:r>
      <w:proofErr w:type="gramStart"/>
      <w:r>
        <w:t>also  the</w:t>
      </w:r>
      <w:proofErr w:type="gramEnd"/>
      <w:r>
        <w:t xml:space="preserve"> class overall  ORC A&amp;B.</w:t>
      </w:r>
    </w:p>
    <w:p w:rsidR="00A02886" w:rsidRPr="00142BE0" w:rsidRDefault="00A02886" w:rsidP="00A02886">
      <w:pPr>
        <w:pStyle w:val="Style3"/>
      </w:pPr>
    </w:p>
    <w:p w:rsidR="00A02886" w:rsidRPr="00142BE0" w:rsidRDefault="00A02886" w:rsidP="00A02886">
      <w:pPr>
        <w:pStyle w:val="Style1"/>
        <w:rPr>
          <w:rFonts w:cs="Times New Roman"/>
        </w:rPr>
      </w:pPr>
      <w:r w:rsidRPr="00142BE0">
        <w:rPr>
          <w:rFonts w:cs="Times New Roman"/>
        </w:rPr>
        <w:t xml:space="preserve">17 </w:t>
      </w:r>
      <w:r w:rsidRPr="00142BE0">
        <w:rPr>
          <w:rFonts w:cs="Times New Roman"/>
        </w:rPr>
        <w:tab/>
        <w:t>Disclaimer of Liability</w:t>
      </w:r>
    </w:p>
    <w:p w:rsidR="00A02886" w:rsidRPr="00142BE0" w:rsidRDefault="00A02886" w:rsidP="00A02886">
      <w:pPr>
        <w:pStyle w:val="Style2"/>
      </w:pPr>
      <w:r w:rsidRPr="00142BE0">
        <w:t>Competitors and support team participate in the series entirely at their own risk and they are reminded of</w:t>
      </w:r>
      <w:r>
        <w:t xml:space="preserve"> </w:t>
      </w:r>
      <w:r w:rsidRPr="00142BE0">
        <w:t>the provisions of RRS 4, Decision to Race. Sailing is by its nature an unpredictable sport and therefore</w:t>
      </w:r>
      <w:r>
        <w:t xml:space="preserve"> </w:t>
      </w:r>
      <w:r w:rsidRPr="00142BE0">
        <w:t>involves an element of risk. By taking part in the event, each competitor agrees and acknowledges that:</w:t>
      </w:r>
    </w:p>
    <w:p w:rsidR="00A02886" w:rsidRPr="00142BE0" w:rsidRDefault="00A02886" w:rsidP="00A02886">
      <w:pPr>
        <w:pStyle w:val="Style3"/>
      </w:pPr>
      <w:r>
        <w:t>17.1.</w:t>
      </w:r>
      <w:r>
        <w:tab/>
      </w:r>
      <w:r w:rsidRPr="00142BE0">
        <w:t>They are aware of the inherent element of risk involved in the sport and accept responsibility for the</w:t>
      </w:r>
      <w:r>
        <w:t xml:space="preserve"> </w:t>
      </w:r>
      <w:r w:rsidRPr="00142BE0">
        <w:t>exposure of themselves, their crew and their boat to such inherent risk whilst taking part in the</w:t>
      </w:r>
      <w:r>
        <w:t xml:space="preserve"> </w:t>
      </w:r>
      <w:r w:rsidRPr="00142BE0">
        <w:t>event;</w:t>
      </w:r>
    </w:p>
    <w:p w:rsidR="00A02886" w:rsidRPr="00142BE0" w:rsidRDefault="00A02886" w:rsidP="00A02886">
      <w:pPr>
        <w:pStyle w:val="Style3"/>
      </w:pPr>
      <w:r>
        <w:t>17.2.</w:t>
      </w:r>
      <w:r>
        <w:tab/>
      </w:r>
      <w:r w:rsidRPr="00142BE0">
        <w:t>They are responsible for the safety of themselves, their crew, their boat and their other property</w:t>
      </w:r>
      <w:r>
        <w:t xml:space="preserve"> </w:t>
      </w:r>
      <w:r w:rsidRPr="00142BE0">
        <w:t>whether afloat or ashore;</w:t>
      </w:r>
    </w:p>
    <w:p w:rsidR="00A02886" w:rsidRPr="00142BE0" w:rsidRDefault="00A02886" w:rsidP="00A02886">
      <w:pPr>
        <w:pStyle w:val="Style3"/>
      </w:pPr>
      <w:r>
        <w:t>17.3.</w:t>
      </w:r>
      <w:r>
        <w:tab/>
      </w:r>
      <w:r w:rsidRPr="00142BE0">
        <w:t>They accept responsibility for any injury, damage or loss to the extent caused by their own actions</w:t>
      </w:r>
      <w:r>
        <w:t xml:space="preserve"> </w:t>
      </w:r>
      <w:r w:rsidRPr="00142BE0">
        <w:t>or omissions;</w:t>
      </w:r>
    </w:p>
    <w:p w:rsidR="00A02886" w:rsidRPr="00142BE0" w:rsidRDefault="00A02886" w:rsidP="00A02886">
      <w:pPr>
        <w:pStyle w:val="Style3"/>
      </w:pPr>
      <w:r>
        <w:t>17.4.</w:t>
      </w:r>
      <w:r>
        <w:tab/>
      </w:r>
      <w:r w:rsidRPr="00142BE0">
        <w:t>By participating in any race, they are satisfied that their boat is in good order, equipped to sail in</w:t>
      </w:r>
      <w:r>
        <w:t xml:space="preserve"> </w:t>
      </w:r>
      <w:r w:rsidRPr="00142BE0">
        <w:t>the event and they are fit to participate;</w:t>
      </w:r>
    </w:p>
    <w:p w:rsidR="00A02886" w:rsidRPr="00142BE0" w:rsidRDefault="00A02886" w:rsidP="00A02886">
      <w:pPr>
        <w:pStyle w:val="Style3"/>
      </w:pPr>
      <w:r>
        <w:t>17.5.</w:t>
      </w:r>
      <w:r>
        <w:tab/>
      </w:r>
      <w:r w:rsidRPr="00142BE0">
        <w:t>The provision of a race management team, patrol boats, umpires and other officials and volunteers</w:t>
      </w:r>
      <w:r>
        <w:t xml:space="preserve"> </w:t>
      </w:r>
      <w:r w:rsidRPr="00142BE0">
        <w:t>by the organizer does not relieve them of their own responsibilities;</w:t>
      </w:r>
    </w:p>
    <w:p w:rsidR="00A02886" w:rsidRPr="00142BE0" w:rsidRDefault="00A02886" w:rsidP="00A02886">
      <w:pPr>
        <w:pStyle w:val="Style3"/>
      </w:pPr>
      <w:r>
        <w:t>17.6.</w:t>
      </w:r>
      <w:r>
        <w:tab/>
      </w:r>
      <w:r w:rsidRPr="00142BE0">
        <w:t>The provision of patrol boat cover is limited to such assistance, particularly in extreme weather</w:t>
      </w:r>
      <w:r>
        <w:t xml:space="preserve"> </w:t>
      </w:r>
      <w:r w:rsidRPr="00142BE0">
        <w:t>conditions, as can be practically provided in the circumstances.</w:t>
      </w:r>
    </w:p>
    <w:p w:rsidR="00A02886" w:rsidRPr="00142BE0" w:rsidRDefault="00A02886" w:rsidP="00A02886">
      <w:pPr>
        <w:pStyle w:val="Style3"/>
      </w:pPr>
      <w:r>
        <w:t>17.7.</w:t>
      </w:r>
      <w:r>
        <w:tab/>
      </w:r>
      <w:r w:rsidRPr="00142BE0">
        <w:t>They will familiarize themselves with any venue/event spec</w:t>
      </w:r>
      <w:r>
        <w:t xml:space="preserve">ific risks, adhere to rules and </w:t>
      </w:r>
      <w:r w:rsidRPr="00142BE0">
        <w:t xml:space="preserve">information produced for the venue/event and </w:t>
      </w:r>
      <w:proofErr w:type="gramStart"/>
      <w:r w:rsidRPr="00142BE0">
        <w:t>attend</w:t>
      </w:r>
      <w:proofErr w:type="gramEnd"/>
      <w:r w:rsidRPr="00142BE0">
        <w:t xml:space="preserve"> any venue/event safety briefings.</w:t>
      </w:r>
    </w:p>
    <w:p w:rsidR="00A02886" w:rsidRPr="00142BE0" w:rsidRDefault="00A02886" w:rsidP="00A02886">
      <w:pPr>
        <w:pStyle w:val="Style1"/>
        <w:rPr>
          <w:rFonts w:cs="Times New Roman"/>
        </w:rPr>
      </w:pPr>
      <w:r w:rsidRPr="00142BE0">
        <w:rPr>
          <w:rFonts w:cs="Times New Roman"/>
        </w:rPr>
        <w:t>18</w:t>
      </w:r>
      <w:r w:rsidRPr="00142BE0">
        <w:rPr>
          <w:rFonts w:cs="Times New Roman"/>
        </w:rPr>
        <w:tab/>
        <w:t>Insurance</w:t>
      </w:r>
    </w:p>
    <w:p w:rsidR="00A02886" w:rsidRPr="00142BE0" w:rsidRDefault="00A02886" w:rsidP="00A02886">
      <w:pPr>
        <w:pStyle w:val="Style2"/>
      </w:pPr>
      <w:r w:rsidRPr="00142BE0">
        <w:t>The organizers advise all participants to have third party liability insurance ant to have all crew members insured.</w:t>
      </w:r>
    </w:p>
    <w:p w:rsidR="00A02886" w:rsidRPr="00142BE0" w:rsidRDefault="00A02886" w:rsidP="00A02886">
      <w:pPr>
        <w:pStyle w:val="Style2"/>
      </w:pPr>
      <w:r w:rsidRPr="00142BE0">
        <w:t>The Organizing Authority is not responsible for verifying the status or validity of certificates.</w:t>
      </w:r>
    </w:p>
    <w:p w:rsidR="00A02886" w:rsidRPr="00142BE0" w:rsidRDefault="00A02886" w:rsidP="00A02886">
      <w:pPr>
        <w:pStyle w:val="Style1"/>
        <w:rPr>
          <w:rFonts w:cs="Times New Roman"/>
        </w:rPr>
      </w:pPr>
      <w:r w:rsidRPr="00142BE0">
        <w:rPr>
          <w:rFonts w:cs="Times New Roman"/>
        </w:rPr>
        <w:t>19</w:t>
      </w:r>
      <w:r w:rsidRPr="00142BE0">
        <w:rPr>
          <w:rFonts w:cs="Times New Roman"/>
        </w:rPr>
        <w:tab/>
        <w:t>Further information</w:t>
      </w:r>
    </w:p>
    <w:p w:rsidR="00A02886" w:rsidRPr="00142BE0" w:rsidRDefault="00A02886" w:rsidP="00A02886">
      <w:pPr>
        <w:pStyle w:val="Style2"/>
      </w:pPr>
      <w:r w:rsidRPr="00142BE0">
        <w:t>For further information,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2"/>
        <w:gridCol w:w="4626"/>
      </w:tblGrid>
      <w:tr w:rsidR="00A02886" w:rsidRPr="00142BE0" w:rsidTr="007B3BFC">
        <w:tc>
          <w:tcPr>
            <w:tcW w:w="4813" w:type="dxa"/>
          </w:tcPr>
          <w:p w:rsidR="00A02886" w:rsidRPr="001C3F8E" w:rsidRDefault="00A02886" w:rsidP="007B3BFC">
            <w:pPr>
              <w:pStyle w:val="Style2"/>
            </w:pPr>
            <w:r w:rsidRPr="001C3F8E">
              <w:t>Black Sea Sailing Association</w:t>
            </w:r>
          </w:p>
          <w:p w:rsidR="00A02886" w:rsidRPr="001C3F8E" w:rsidRDefault="00A02886" w:rsidP="007B3BFC">
            <w:pPr>
              <w:pStyle w:val="Style2"/>
            </w:pPr>
            <w:r w:rsidRPr="001C3F8E">
              <w:t>Tel: +4 0785 282 018</w:t>
            </w:r>
          </w:p>
          <w:p w:rsidR="00A02886" w:rsidRPr="001C3F8E" w:rsidRDefault="00A02886" w:rsidP="007B3BFC">
            <w:pPr>
              <w:pStyle w:val="Style2"/>
            </w:pPr>
            <w:hyperlink r:id="rId7" w:history="1">
              <w:r w:rsidRPr="001C3F8E">
                <w:t>blackseasailing@gmail.com</w:t>
              </w:r>
            </w:hyperlink>
          </w:p>
        </w:tc>
        <w:tc>
          <w:tcPr>
            <w:tcW w:w="4814" w:type="dxa"/>
          </w:tcPr>
          <w:p w:rsidR="00A02886" w:rsidRPr="001C3F8E" w:rsidRDefault="00A02886" w:rsidP="007B3BFC">
            <w:pPr>
              <w:pStyle w:val="Style2"/>
            </w:pPr>
            <w:r w:rsidRPr="001C3F8E">
              <w:t xml:space="preserve"> Nautical Club </w:t>
            </w:r>
            <w:proofErr w:type="spellStart"/>
            <w:r w:rsidRPr="001C3F8E">
              <w:t>Balcic</w:t>
            </w:r>
            <w:proofErr w:type="spellEnd"/>
          </w:p>
          <w:p w:rsidR="00A02886" w:rsidRPr="001C3F8E" w:rsidRDefault="00A02886" w:rsidP="007B3BFC">
            <w:pPr>
              <w:pStyle w:val="Style2"/>
            </w:pPr>
            <w:proofErr w:type="spellStart"/>
            <w:r w:rsidRPr="001C3F8E">
              <w:t>Stoyan</w:t>
            </w:r>
            <w:proofErr w:type="spellEnd"/>
            <w:r w:rsidRPr="001C3F8E">
              <w:t xml:space="preserve"> </w:t>
            </w:r>
            <w:proofErr w:type="spellStart"/>
            <w:r w:rsidRPr="001C3F8E">
              <w:t>Georgiev</w:t>
            </w:r>
            <w:proofErr w:type="spellEnd"/>
          </w:p>
          <w:p w:rsidR="00A02886" w:rsidRPr="001C3F8E" w:rsidRDefault="00A02886" w:rsidP="007B3BFC">
            <w:pPr>
              <w:pStyle w:val="Style2"/>
            </w:pPr>
            <w:r w:rsidRPr="001C3F8E">
              <w:t>Tel.: +359 89 8353345</w:t>
            </w:r>
          </w:p>
          <w:p w:rsidR="00A02886" w:rsidRPr="001C3F8E" w:rsidRDefault="00A02886" w:rsidP="007B3BFC">
            <w:pPr>
              <w:pStyle w:val="Style2"/>
            </w:pPr>
          </w:p>
          <w:p w:rsidR="00A02886" w:rsidRPr="001C3F8E" w:rsidRDefault="00A02886" w:rsidP="007B3BFC">
            <w:pPr>
              <w:pStyle w:val="Style2"/>
            </w:pPr>
            <w:r w:rsidRPr="001C3F8E">
              <w:t xml:space="preserve">Alexander </w:t>
            </w:r>
            <w:proofErr w:type="spellStart"/>
            <w:r w:rsidRPr="001C3F8E">
              <w:t>Slavchev</w:t>
            </w:r>
            <w:proofErr w:type="spellEnd"/>
          </w:p>
          <w:p w:rsidR="00A02886" w:rsidRPr="001C3F8E" w:rsidRDefault="00A02886" w:rsidP="007B3BFC">
            <w:pPr>
              <w:pStyle w:val="Style2"/>
            </w:pPr>
            <w:r w:rsidRPr="001C3F8E">
              <w:t>Tel: +359883506928</w:t>
            </w:r>
          </w:p>
          <w:p w:rsidR="00A02886" w:rsidRPr="001C3F8E" w:rsidRDefault="00A02886" w:rsidP="007B3BFC">
            <w:pPr>
              <w:pStyle w:val="Style2"/>
            </w:pPr>
            <w:r>
              <w:t>mk_balchik@abv.bg</w:t>
            </w:r>
          </w:p>
        </w:tc>
      </w:tr>
      <w:tr w:rsidR="00A02886" w:rsidRPr="00142BE0" w:rsidTr="007B3BFC">
        <w:tc>
          <w:tcPr>
            <w:tcW w:w="4813" w:type="dxa"/>
          </w:tcPr>
          <w:p w:rsidR="00A02886" w:rsidRPr="00142BE0" w:rsidRDefault="00A02886" w:rsidP="007B3BFC">
            <w:pPr>
              <w:pStyle w:val="Style2"/>
            </w:pPr>
          </w:p>
          <w:p w:rsidR="00A02886" w:rsidRPr="00142BE0" w:rsidRDefault="00A02886" w:rsidP="007B3BFC">
            <w:pPr>
              <w:pStyle w:val="Style2"/>
            </w:pPr>
            <w:r w:rsidRPr="00142BE0">
              <w:lastRenderedPageBreak/>
              <w:t xml:space="preserve">Marina </w:t>
            </w:r>
            <w:proofErr w:type="spellStart"/>
            <w:r w:rsidRPr="00142BE0">
              <w:t>Eforie</w:t>
            </w:r>
            <w:proofErr w:type="spellEnd"/>
            <w:r w:rsidRPr="00142BE0">
              <w:t xml:space="preserve"> Nord </w:t>
            </w:r>
          </w:p>
          <w:p w:rsidR="00A02886" w:rsidRPr="00142BE0" w:rsidRDefault="00A02886" w:rsidP="007B3BFC">
            <w:pPr>
              <w:pStyle w:val="Style2"/>
            </w:pPr>
            <w:r w:rsidRPr="00142BE0">
              <w:t xml:space="preserve">N 44°03.75’; E 28°38.65’ </w:t>
            </w:r>
          </w:p>
          <w:p w:rsidR="00A02886" w:rsidRPr="00142BE0" w:rsidRDefault="00A02886" w:rsidP="007B3BFC">
            <w:pPr>
              <w:pStyle w:val="Style2"/>
            </w:pPr>
            <w:r w:rsidRPr="00142BE0">
              <w:t>VHF Channel 69</w:t>
            </w:r>
          </w:p>
        </w:tc>
        <w:tc>
          <w:tcPr>
            <w:tcW w:w="4814" w:type="dxa"/>
          </w:tcPr>
          <w:p w:rsidR="00A02886" w:rsidRPr="00142BE0" w:rsidRDefault="00A02886" w:rsidP="007B3BFC">
            <w:pPr>
              <w:pStyle w:val="Style2"/>
            </w:pPr>
          </w:p>
          <w:p w:rsidR="00A02886" w:rsidRPr="00142BE0" w:rsidRDefault="00A02886" w:rsidP="007B3BFC">
            <w:pPr>
              <w:pStyle w:val="Style2"/>
            </w:pPr>
            <w:r w:rsidRPr="00142BE0">
              <w:lastRenderedPageBreak/>
              <w:t xml:space="preserve">Marina </w:t>
            </w:r>
            <w:proofErr w:type="spellStart"/>
            <w:r>
              <w:t>Balchik</w:t>
            </w:r>
            <w:proofErr w:type="spellEnd"/>
          </w:p>
          <w:p w:rsidR="00A02886" w:rsidRPr="00336B01" w:rsidRDefault="00A02886" w:rsidP="007B3BFC">
            <w:pPr>
              <w:pStyle w:val="Style2"/>
              <w:rPr>
                <w:lang w:val="bg-BG"/>
              </w:rPr>
            </w:pPr>
            <w:r w:rsidRPr="00142BE0">
              <w:t>N 43°24.10’; E 28°10.0’</w:t>
            </w:r>
            <w:bookmarkStart w:id="0" w:name="_GoBack"/>
            <w:bookmarkEnd w:id="0"/>
          </w:p>
          <w:p w:rsidR="00A02886" w:rsidRPr="00142BE0" w:rsidRDefault="00A02886" w:rsidP="007B3BFC">
            <w:pPr>
              <w:pStyle w:val="Style2"/>
            </w:pPr>
            <w:r w:rsidRPr="00142BE0">
              <w:t>VHF Channel 73</w:t>
            </w:r>
          </w:p>
        </w:tc>
      </w:tr>
      <w:tr w:rsidR="00A02886" w:rsidRPr="00142BE0" w:rsidTr="007B3BFC">
        <w:tc>
          <w:tcPr>
            <w:tcW w:w="4813" w:type="dxa"/>
          </w:tcPr>
          <w:p w:rsidR="00A02886" w:rsidRPr="00142BE0" w:rsidRDefault="00A02886" w:rsidP="007B3BFC">
            <w:pPr>
              <w:pStyle w:val="Style2"/>
            </w:pPr>
          </w:p>
          <w:p w:rsidR="00A02886" w:rsidRPr="00142BE0" w:rsidRDefault="00A02886" w:rsidP="007B3BFC">
            <w:pPr>
              <w:pStyle w:val="Style2"/>
            </w:pPr>
            <w:r w:rsidRPr="00142BE0">
              <w:t>Romanian Border Authority</w:t>
            </w:r>
          </w:p>
          <w:p w:rsidR="00A02886" w:rsidRPr="00142BE0" w:rsidRDefault="00A02886" w:rsidP="007B3BFC">
            <w:pPr>
              <w:pStyle w:val="Style2"/>
            </w:pPr>
            <w:r w:rsidRPr="00142BE0">
              <w:t>VHF Channel 16</w:t>
            </w:r>
          </w:p>
        </w:tc>
        <w:tc>
          <w:tcPr>
            <w:tcW w:w="4814" w:type="dxa"/>
          </w:tcPr>
          <w:p w:rsidR="00A02886" w:rsidRPr="00142BE0" w:rsidRDefault="00A02886" w:rsidP="007B3BFC">
            <w:pPr>
              <w:pStyle w:val="Style2"/>
            </w:pPr>
          </w:p>
          <w:p w:rsidR="00A02886" w:rsidRPr="00142BE0" w:rsidRDefault="00A02886" w:rsidP="007B3BFC">
            <w:pPr>
              <w:pStyle w:val="Style2"/>
            </w:pPr>
            <w:r w:rsidRPr="00142BE0">
              <w:t>Bulgarian Border Authority</w:t>
            </w:r>
          </w:p>
          <w:p w:rsidR="00A02886" w:rsidRPr="00142BE0" w:rsidRDefault="00A02886" w:rsidP="007B3BFC">
            <w:pPr>
              <w:pStyle w:val="Style2"/>
            </w:pPr>
            <w:r w:rsidRPr="00142BE0">
              <w:t>VHF Channel 8</w:t>
            </w:r>
          </w:p>
        </w:tc>
      </w:tr>
    </w:tbl>
    <w:p w:rsidR="00A02886" w:rsidRPr="00142BE0" w:rsidRDefault="00A02886" w:rsidP="00A02886">
      <w:pPr>
        <w:spacing w:after="0" w:line="240" w:lineRule="auto"/>
        <w:rPr>
          <w:rFonts w:ascii="Times New Roman" w:hAnsi="Times New Roman" w:cs="Times New Roman"/>
          <w:color w:val="17365D" w:themeColor="text2" w:themeShade="BF"/>
          <w:sz w:val="24"/>
        </w:rPr>
      </w:pPr>
    </w:p>
    <w:p w:rsidR="00A02886" w:rsidRPr="00142BE0" w:rsidRDefault="00A02886" w:rsidP="00A02886">
      <w:pPr>
        <w:pStyle w:val="Style2"/>
        <w:rPr>
          <w:b/>
          <w:color w:val="FF0000"/>
        </w:rPr>
      </w:pPr>
      <w:r w:rsidRPr="00142BE0">
        <w:rPr>
          <w:b/>
          <w:color w:val="FF0000"/>
        </w:rPr>
        <w:t xml:space="preserve">Please take into consideration to prepare the necessary documents for border entrance/clearance procedure </w:t>
      </w:r>
    </w:p>
    <w:p w:rsidR="00A02886" w:rsidRPr="00142BE0" w:rsidRDefault="00A02886" w:rsidP="00A02886">
      <w:pPr>
        <w:pStyle w:val="Style2"/>
      </w:pPr>
    </w:p>
    <w:p w:rsidR="00A02886" w:rsidRPr="00142BE0" w:rsidRDefault="00A02886" w:rsidP="00A02886">
      <w:pPr>
        <w:pStyle w:val="Style2"/>
      </w:pPr>
      <w:r w:rsidRPr="00142BE0">
        <w:t>Happy sailing!</w:t>
      </w:r>
    </w:p>
    <w:p w:rsidR="00A02886" w:rsidRPr="00A02886" w:rsidRDefault="00A02886"/>
    <w:sectPr w:rsidR="00A02886" w:rsidRPr="00A02886" w:rsidSect="009E6C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37C68"/>
    <w:multiLevelType w:val="hybridMultilevel"/>
    <w:tmpl w:val="DBAAC89E"/>
    <w:lvl w:ilvl="0" w:tplc="E43EBF6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2886"/>
    <w:rsid w:val="009E6C4F"/>
    <w:rsid w:val="00A0288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8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886"/>
    <w:rPr>
      <w:color w:val="0000FF" w:themeColor="hyperlink"/>
      <w:u w:val="single"/>
    </w:rPr>
  </w:style>
  <w:style w:type="table" w:styleId="TableGrid">
    <w:name w:val="Table Grid"/>
    <w:basedOn w:val="TableNormal"/>
    <w:rsid w:val="00A0288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List2"/>
    <w:link w:val="Style3Char"/>
    <w:autoRedefine/>
    <w:qFormat/>
    <w:rsid w:val="00A02886"/>
    <w:pPr>
      <w:spacing w:after="60" w:line="240" w:lineRule="auto"/>
      <w:ind w:left="567" w:hanging="567"/>
      <w:contextualSpacing w:val="0"/>
    </w:pPr>
    <w:rPr>
      <w:rFonts w:ascii="Times New Roman" w:eastAsiaTheme="minorEastAsia" w:hAnsi="Times New Roman"/>
      <w:sz w:val="20"/>
      <w:szCs w:val="20"/>
    </w:rPr>
  </w:style>
  <w:style w:type="character" w:customStyle="1" w:styleId="Style3Char">
    <w:name w:val="Style3 Char"/>
    <w:basedOn w:val="DefaultParagraphFont"/>
    <w:link w:val="Style3"/>
    <w:rsid w:val="00A02886"/>
    <w:rPr>
      <w:rFonts w:ascii="Times New Roman" w:eastAsiaTheme="minorEastAsia" w:hAnsi="Times New Roman"/>
      <w:sz w:val="20"/>
      <w:szCs w:val="20"/>
      <w:lang w:val="en-US"/>
    </w:rPr>
  </w:style>
  <w:style w:type="paragraph" w:customStyle="1" w:styleId="Style1">
    <w:name w:val="Style1"/>
    <w:basedOn w:val="List"/>
    <w:link w:val="Style1Char"/>
    <w:autoRedefine/>
    <w:qFormat/>
    <w:rsid w:val="00A02886"/>
    <w:pPr>
      <w:pBdr>
        <w:bottom w:val="single" w:sz="4" w:space="1" w:color="auto"/>
      </w:pBdr>
      <w:spacing w:before="200" w:after="40" w:line="240" w:lineRule="auto"/>
      <w:ind w:left="284" w:hanging="284"/>
      <w:contextualSpacing w:val="0"/>
    </w:pPr>
    <w:rPr>
      <w:rFonts w:ascii="Times New Roman" w:eastAsiaTheme="minorEastAsia" w:hAnsi="Times New Roman"/>
      <w:b/>
      <w:caps/>
      <w:color w:val="1F497D" w:themeColor="text2"/>
      <w:sz w:val="20"/>
      <w:lang w:bidi="en-US"/>
    </w:rPr>
  </w:style>
  <w:style w:type="character" w:customStyle="1" w:styleId="Style1Char">
    <w:name w:val="Style1 Char"/>
    <w:basedOn w:val="DefaultParagraphFont"/>
    <w:link w:val="Style1"/>
    <w:rsid w:val="00A02886"/>
    <w:rPr>
      <w:rFonts w:ascii="Times New Roman" w:eastAsiaTheme="minorEastAsia" w:hAnsi="Times New Roman"/>
      <w:b/>
      <w:caps/>
      <w:color w:val="1F497D" w:themeColor="text2"/>
      <w:sz w:val="20"/>
      <w:lang w:val="en-US" w:bidi="en-US"/>
    </w:rPr>
  </w:style>
  <w:style w:type="paragraph" w:customStyle="1" w:styleId="Style2">
    <w:name w:val="Style2"/>
    <w:basedOn w:val="Normal"/>
    <w:link w:val="Style2Char"/>
    <w:autoRedefine/>
    <w:qFormat/>
    <w:rsid w:val="00A02886"/>
    <w:pPr>
      <w:spacing w:after="60" w:line="252" w:lineRule="auto"/>
    </w:pPr>
    <w:rPr>
      <w:rFonts w:ascii="Times New Roman" w:eastAsiaTheme="minorEastAsia" w:hAnsi="Times New Roman"/>
      <w:sz w:val="20"/>
      <w:lang w:bidi="en-US"/>
    </w:rPr>
  </w:style>
  <w:style w:type="character" w:customStyle="1" w:styleId="Style2Char">
    <w:name w:val="Style2 Char"/>
    <w:basedOn w:val="DefaultParagraphFont"/>
    <w:link w:val="Style2"/>
    <w:rsid w:val="00A02886"/>
    <w:rPr>
      <w:rFonts w:ascii="Times New Roman" w:eastAsiaTheme="minorEastAsia" w:hAnsi="Times New Roman"/>
      <w:sz w:val="20"/>
      <w:lang w:val="en-US" w:bidi="en-US"/>
    </w:rPr>
  </w:style>
  <w:style w:type="paragraph" w:styleId="List2">
    <w:name w:val="List 2"/>
    <w:basedOn w:val="Normal"/>
    <w:uiPriority w:val="99"/>
    <w:semiHidden/>
    <w:unhideWhenUsed/>
    <w:rsid w:val="00A02886"/>
    <w:pPr>
      <w:ind w:left="566" w:hanging="283"/>
      <w:contextualSpacing/>
    </w:pPr>
  </w:style>
  <w:style w:type="paragraph" w:styleId="List">
    <w:name w:val="List"/>
    <w:basedOn w:val="Normal"/>
    <w:uiPriority w:val="99"/>
    <w:semiHidden/>
    <w:unhideWhenUsed/>
    <w:rsid w:val="00A02886"/>
    <w:pPr>
      <w:ind w:left="283" w:hanging="283"/>
      <w:contextualSpacing/>
    </w:pPr>
  </w:style>
  <w:style w:type="paragraph" w:styleId="BalloonText">
    <w:name w:val="Balloon Text"/>
    <w:basedOn w:val="Normal"/>
    <w:link w:val="BalloonTextChar"/>
    <w:uiPriority w:val="99"/>
    <w:semiHidden/>
    <w:unhideWhenUsed/>
    <w:rsid w:val="00A02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88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ackseasai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blackseasailing@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dcterms:created xsi:type="dcterms:W3CDTF">2019-07-26T03:24:00Z</dcterms:created>
  <dcterms:modified xsi:type="dcterms:W3CDTF">2019-07-26T03:26:00Z</dcterms:modified>
</cp:coreProperties>
</file>